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A29A2C" w14:textId="77777777" w:rsidR="00DB48E0" w:rsidRDefault="00000000">
      <w:pPr>
        <w:pStyle w:val="Sous-titre"/>
      </w:pPr>
      <w:r>
        <w:t>IAE Paris-Est</w:t>
      </w:r>
    </w:p>
    <w:p w14:paraId="770157E8" w14:textId="77777777" w:rsidR="00DB48E0" w:rsidRDefault="00000000">
      <w:pPr>
        <w:pStyle w:val="Sous-titre"/>
      </w:pPr>
      <w:r>
        <w:t>Master 2 – Gestion de Portefeuille</w:t>
      </w:r>
    </w:p>
    <w:p w14:paraId="09965BE4" w14:textId="77777777" w:rsidR="00DB48E0" w:rsidRDefault="00000000">
      <w:pPr>
        <w:pStyle w:val="Sous-titre"/>
      </w:pPr>
      <w:r>
        <w:t>2024-2025</w:t>
      </w:r>
    </w:p>
    <w:p w14:paraId="684FF000" w14:textId="77777777" w:rsidR="00DB48E0" w:rsidRDefault="00DB48E0">
      <w:pPr>
        <w:pStyle w:val="Sous-titre"/>
      </w:pPr>
    </w:p>
    <w:p w14:paraId="5DB7165A" w14:textId="77777777" w:rsidR="00DB48E0" w:rsidRDefault="00000000">
      <w:pPr>
        <w:pStyle w:val="Sous-titre"/>
      </w:pPr>
      <w:r>
        <w:t>Mémoire de recherche</w:t>
      </w:r>
    </w:p>
    <w:p w14:paraId="53E1592E" w14:textId="77777777" w:rsidR="00DB48E0" w:rsidRDefault="00000000">
      <w:pPr>
        <w:pStyle w:val="Titre"/>
      </w:pPr>
      <w:r>
        <w:t>Analyse de l’évolution des styles d’investissements en Europe</w:t>
      </w:r>
    </w:p>
    <w:p w14:paraId="0727156D" w14:textId="77777777" w:rsidR="00DB48E0" w:rsidRDefault="00000000">
      <w:pPr>
        <w:pStyle w:val="Sous-titre"/>
      </w:pPr>
      <w:r>
        <w:t>Présenté par</w:t>
      </w:r>
    </w:p>
    <w:p w14:paraId="016DB6AA" w14:textId="77777777" w:rsidR="00DB48E0" w:rsidRDefault="00000000">
      <w:pPr>
        <w:pStyle w:val="Sous-titre"/>
      </w:pPr>
      <w:proofErr w:type="spellStart"/>
      <w:r>
        <w:t>Nyangang</w:t>
      </w:r>
      <w:proofErr w:type="spellEnd"/>
      <w:r>
        <w:t xml:space="preserve"> Wilson &amp; Rakotoson Arotiana</w:t>
      </w:r>
    </w:p>
    <w:p w14:paraId="690556D8" w14:textId="77777777" w:rsidR="00DB48E0" w:rsidRDefault="00DB48E0">
      <w:pPr>
        <w:pBdr>
          <w:top w:val="nil"/>
          <w:left w:val="nil"/>
          <w:bottom w:val="nil"/>
          <w:right w:val="nil"/>
          <w:between w:val="nil"/>
        </w:pBdr>
        <w:spacing w:before="0" w:after="0" w:line="240" w:lineRule="auto"/>
        <w:jc w:val="center"/>
        <w:rPr>
          <w:color w:val="000000"/>
        </w:rPr>
      </w:pPr>
    </w:p>
    <w:p w14:paraId="0CE19A6E" w14:textId="77777777" w:rsidR="00DB48E0" w:rsidRDefault="00000000">
      <w:pPr>
        <w:pStyle w:val="Sous-titre"/>
      </w:pPr>
      <w:r>
        <w:t>Supervisé par</w:t>
      </w:r>
    </w:p>
    <w:p w14:paraId="45EE1380" w14:textId="77777777" w:rsidR="00DB48E0" w:rsidRDefault="00000000">
      <w:pPr>
        <w:pStyle w:val="Sous-titre"/>
      </w:pPr>
      <w:proofErr w:type="spellStart"/>
      <w:r>
        <w:t>Desban</w:t>
      </w:r>
      <w:proofErr w:type="spellEnd"/>
      <w:r>
        <w:t xml:space="preserve"> Marc</w:t>
      </w:r>
    </w:p>
    <w:p w14:paraId="596EEF6A" w14:textId="77777777" w:rsidR="00DB48E0" w:rsidRDefault="00000000">
      <w:pPr>
        <w:spacing w:before="0" w:after="200" w:line="276" w:lineRule="auto"/>
        <w:jc w:val="left"/>
        <w:rPr>
          <w:b/>
          <w:color w:val="000000"/>
        </w:rPr>
      </w:pPr>
      <w:r>
        <w:br w:type="page"/>
      </w:r>
    </w:p>
    <w:p w14:paraId="0FE38E27" w14:textId="77777777" w:rsidR="00DB48E0" w:rsidRDefault="00000000">
      <w:pPr>
        <w:sectPr w:rsidR="00DB48E0">
          <w:footerReference w:type="default" r:id="rId9"/>
          <w:pgSz w:w="11907" w:h="16839"/>
          <w:pgMar w:top="1134" w:right="1701" w:bottom="1134" w:left="1701" w:header="709" w:footer="709" w:gutter="0"/>
          <w:pgNumType w:start="1"/>
          <w:cols w:space="720"/>
        </w:sectPr>
      </w:pPr>
      <w:r>
        <w:lastRenderedPageBreak/>
        <w:t>Cette page est intentionnellement laissée blanche.</w:t>
      </w:r>
    </w:p>
    <w:p w14:paraId="27D11D13" w14:textId="77777777" w:rsidR="00DB48E0" w:rsidRDefault="00000000">
      <w:r>
        <w:lastRenderedPageBreak/>
        <w:t>DISCLAIMER</w:t>
      </w:r>
    </w:p>
    <w:p w14:paraId="1C553081" w14:textId="77777777" w:rsidR="00DB48E0" w:rsidRDefault="00000000">
      <w:r>
        <w:t>Nous certifions que le présent mémoire est un travail entièrement personnel et que toutes les citations directes ou indirectes d'autres études utilisées en référence sont indiquées tant dans le texte que dans la bibliographie. Les opinions exprimées dans ce mémoire sont celles des auteurs et ne reflètent pas la politique ou la position officielle de l'IAE Paris-Est, Université Paris-Est Créteil.</w:t>
      </w:r>
    </w:p>
    <w:p w14:paraId="0B328D19" w14:textId="77777777" w:rsidR="00DB48E0" w:rsidRDefault="00000000">
      <w:pPr>
        <w:jc w:val="right"/>
      </w:pPr>
      <w:proofErr w:type="spellStart"/>
      <w:r>
        <w:t>Nyangang</w:t>
      </w:r>
      <w:proofErr w:type="spellEnd"/>
      <w:r>
        <w:t xml:space="preserve"> Wilson &amp; Rakotoson Arotiana</w:t>
      </w:r>
    </w:p>
    <w:p w14:paraId="2D5BAF75" w14:textId="77777777" w:rsidR="00DB48E0" w:rsidRDefault="00DB48E0">
      <w:pPr>
        <w:jc w:val="right"/>
      </w:pPr>
    </w:p>
    <w:p w14:paraId="3166D7E6" w14:textId="77777777" w:rsidR="00DB48E0" w:rsidRDefault="00000000">
      <w:pPr>
        <w:spacing w:before="0" w:after="200" w:line="276" w:lineRule="auto"/>
        <w:jc w:val="left"/>
      </w:pPr>
      <w:r>
        <w:br w:type="page"/>
      </w:r>
    </w:p>
    <w:p w14:paraId="51755577" w14:textId="77777777" w:rsidR="00DB48E0" w:rsidRDefault="00000000">
      <w:r>
        <w:lastRenderedPageBreak/>
        <w:t>Cette page est intentionnellement laissée blanche. </w:t>
      </w:r>
    </w:p>
    <w:p w14:paraId="1D5C97F0" w14:textId="77777777" w:rsidR="00DB48E0" w:rsidRDefault="00000000">
      <w:pPr>
        <w:spacing w:before="0" w:after="200" w:line="276" w:lineRule="auto"/>
        <w:jc w:val="left"/>
      </w:pPr>
      <w:r>
        <w:br w:type="page"/>
      </w:r>
    </w:p>
    <w:p w14:paraId="4A158123" w14:textId="77777777" w:rsidR="00DB48E0" w:rsidRDefault="00000000">
      <w:r>
        <w:lastRenderedPageBreak/>
        <w:t>RÉSUMÉ</w:t>
      </w:r>
    </w:p>
    <w:p w14:paraId="3607FED9" w14:textId="77777777" w:rsidR="00DB48E0" w:rsidRDefault="00000000">
      <w:r>
        <w:t xml:space="preserve">Cette étude examine l'évolution des styles d'investissement en Europe sur la période allant de 1999 à 2024. Elle se concentre sur l'analyse de sept styles d'investissement basés sur des facteurs de rendement : large cap, </w:t>
      </w:r>
      <w:proofErr w:type="spellStart"/>
      <w:r>
        <w:t>small</w:t>
      </w:r>
      <w:proofErr w:type="spellEnd"/>
      <w:r>
        <w:t xml:space="preserve"> cap, </w:t>
      </w:r>
      <w:proofErr w:type="spellStart"/>
      <w:r>
        <w:t>growth</w:t>
      </w:r>
      <w:proofErr w:type="spellEnd"/>
      <w:r>
        <w:t xml:space="preserve">, value, </w:t>
      </w:r>
      <w:proofErr w:type="spellStart"/>
      <w:r>
        <w:t>quality</w:t>
      </w:r>
      <w:proofErr w:type="spellEnd"/>
      <w:r>
        <w:t xml:space="preserve">, </w:t>
      </w:r>
      <w:proofErr w:type="spellStart"/>
      <w:r>
        <w:t>momentum</w:t>
      </w:r>
      <w:proofErr w:type="spellEnd"/>
      <w:r>
        <w:t xml:space="preserve">, et </w:t>
      </w:r>
      <w:proofErr w:type="spellStart"/>
      <w:r>
        <w:t>low</w:t>
      </w:r>
      <w:proofErr w:type="spellEnd"/>
      <w:r>
        <w:t xml:space="preserve"> </w:t>
      </w:r>
      <w:proofErr w:type="spellStart"/>
      <w:r>
        <w:t>volatility</w:t>
      </w:r>
      <w:proofErr w:type="spellEnd"/>
      <w:r>
        <w:t xml:space="preserve">. L'analyse de l'évolution de ces styles est réalisée en examinant des indicateurs de performance et de risque durant des sous-périodes de crises et de reprises économiques. Les résultats montrent qu’en période de crise, les styles </w:t>
      </w:r>
      <w:proofErr w:type="spellStart"/>
      <w:r>
        <w:t>Quality</w:t>
      </w:r>
      <w:proofErr w:type="spellEnd"/>
      <w:r>
        <w:t xml:space="preserve"> et Low </w:t>
      </w:r>
      <w:proofErr w:type="spellStart"/>
      <w:r>
        <w:t>Volatility</w:t>
      </w:r>
      <w:proofErr w:type="spellEnd"/>
      <w:r>
        <w:t xml:space="preserve"> résistent mieux, tandis que les titres Value sont souvent les plus touchés. Lors des reprises économiques, les Small Cap, Momentum et </w:t>
      </w:r>
      <w:proofErr w:type="spellStart"/>
      <w:r>
        <w:t>Growth</w:t>
      </w:r>
      <w:proofErr w:type="spellEnd"/>
      <w:r>
        <w:t xml:space="preserve"> surperforment, profitant de l'afflux de capitaux et des tendances haussières. Les Large Cap et Value sous-performent souvent pendant ces phases, car les investisseurs privilégient des stratégies plus dynamiques</w:t>
      </w:r>
    </w:p>
    <w:p w14:paraId="6BC88A38" w14:textId="77777777" w:rsidR="00DB48E0" w:rsidRDefault="00000000">
      <w:r>
        <w:t xml:space="preserve">Mots-clés : styles d’investissement ; </w:t>
      </w:r>
      <w:proofErr w:type="gramStart"/>
      <w:r>
        <w:t>facteurs;</w:t>
      </w:r>
      <w:proofErr w:type="gramEnd"/>
      <w:r>
        <w:t xml:space="preserve"> crises; expansion et reprise</w:t>
      </w:r>
    </w:p>
    <w:p w14:paraId="076B79D0" w14:textId="77777777" w:rsidR="00DB48E0" w:rsidRDefault="00000000">
      <w:pPr>
        <w:spacing w:before="0" w:after="200" w:line="276" w:lineRule="auto"/>
        <w:jc w:val="left"/>
      </w:pPr>
      <w:r>
        <w:br w:type="page"/>
      </w:r>
    </w:p>
    <w:p w14:paraId="412CD097" w14:textId="549375F7" w:rsidR="00DB48E0" w:rsidRDefault="0070384B">
      <w:r>
        <w:lastRenderedPageBreak/>
        <w:t>SOMMAIRE</w:t>
      </w:r>
    </w:p>
    <w:p w14:paraId="4B6A7F08" w14:textId="052CBFAC" w:rsidR="00A27748" w:rsidRDefault="00A27748">
      <w:pPr>
        <w:pStyle w:val="TM1"/>
        <w:tabs>
          <w:tab w:val="left" w:pos="400"/>
          <w:tab w:val="right" w:leader="dot" w:pos="9061"/>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4078558" w:history="1">
        <w:r w:rsidRPr="00915E2E">
          <w:rPr>
            <w:rStyle w:val="Lienhypertexte"/>
            <w:noProof/>
          </w:rPr>
          <w:t>1</w:t>
        </w:r>
        <w:r>
          <w:rPr>
            <w:rFonts w:asciiTheme="minorHAnsi" w:eastAsiaTheme="minorEastAsia" w:hAnsiTheme="minorHAnsi" w:cstheme="minorBidi"/>
            <w:noProof/>
            <w:kern w:val="2"/>
            <w:sz w:val="24"/>
            <w:szCs w:val="24"/>
            <w14:ligatures w14:val="standardContextual"/>
          </w:rPr>
          <w:tab/>
        </w:r>
        <w:r w:rsidRPr="00915E2E">
          <w:rPr>
            <w:rStyle w:val="Lienhypertexte"/>
            <w:noProof/>
          </w:rPr>
          <w:t>Introduction et revue de la littérature</w:t>
        </w:r>
        <w:r>
          <w:rPr>
            <w:noProof/>
            <w:webHidden/>
          </w:rPr>
          <w:tab/>
        </w:r>
        <w:r>
          <w:rPr>
            <w:noProof/>
            <w:webHidden/>
          </w:rPr>
          <w:fldChar w:fldCharType="begin"/>
        </w:r>
        <w:r>
          <w:rPr>
            <w:noProof/>
            <w:webHidden/>
          </w:rPr>
          <w:instrText xml:space="preserve"> PAGEREF _Toc194078558 \h </w:instrText>
        </w:r>
        <w:r>
          <w:rPr>
            <w:noProof/>
            <w:webHidden/>
          </w:rPr>
        </w:r>
        <w:r>
          <w:rPr>
            <w:noProof/>
            <w:webHidden/>
          </w:rPr>
          <w:fldChar w:fldCharType="separate"/>
        </w:r>
        <w:r w:rsidR="004D7D3B">
          <w:rPr>
            <w:noProof/>
            <w:webHidden/>
          </w:rPr>
          <w:t>1</w:t>
        </w:r>
        <w:r>
          <w:rPr>
            <w:noProof/>
            <w:webHidden/>
          </w:rPr>
          <w:fldChar w:fldCharType="end"/>
        </w:r>
      </w:hyperlink>
    </w:p>
    <w:p w14:paraId="4F983D62" w14:textId="5A332380" w:rsidR="00A27748" w:rsidRDefault="00A27748">
      <w:pPr>
        <w:pStyle w:val="TM1"/>
        <w:tabs>
          <w:tab w:val="left" w:pos="400"/>
          <w:tab w:val="right" w:leader="dot" w:pos="9061"/>
        </w:tabs>
        <w:rPr>
          <w:rFonts w:asciiTheme="minorHAnsi" w:eastAsiaTheme="minorEastAsia" w:hAnsiTheme="minorHAnsi" w:cstheme="minorBidi"/>
          <w:noProof/>
          <w:kern w:val="2"/>
          <w:sz w:val="24"/>
          <w:szCs w:val="24"/>
          <w14:ligatures w14:val="standardContextual"/>
        </w:rPr>
      </w:pPr>
      <w:hyperlink w:anchor="_Toc194078559" w:history="1">
        <w:r w:rsidRPr="00915E2E">
          <w:rPr>
            <w:rStyle w:val="Lienhypertexte"/>
            <w:noProof/>
          </w:rPr>
          <w:t>2</w:t>
        </w:r>
        <w:r>
          <w:rPr>
            <w:rFonts w:asciiTheme="minorHAnsi" w:eastAsiaTheme="minorEastAsia" w:hAnsiTheme="minorHAnsi" w:cstheme="minorBidi"/>
            <w:noProof/>
            <w:kern w:val="2"/>
            <w:sz w:val="24"/>
            <w:szCs w:val="24"/>
            <w14:ligatures w14:val="standardContextual"/>
          </w:rPr>
          <w:tab/>
        </w:r>
        <w:r w:rsidRPr="00915E2E">
          <w:rPr>
            <w:rStyle w:val="Lienhypertexte"/>
            <w:noProof/>
          </w:rPr>
          <w:t>Données et méthodologie</w:t>
        </w:r>
        <w:r>
          <w:rPr>
            <w:noProof/>
            <w:webHidden/>
          </w:rPr>
          <w:tab/>
        </w:r>
        <w:r>
          <w:rPr>
            <w:noProof/>
            <w:webHidden/>
          </w:rPr>
          <w:fldChar w:fldCharType="begin"/>
        </w:r>
        <w:r>
          <w:rPr>
            <w:noProof/>
            <w:webHidden/>
          </w:rPr>
          <w:instrText xml:space="preserve"> PAGEREF _Toc194078559 \h </w:instrText>
        </w:r>
        <w:r>
          <w:rPr>
            <w:noProof/>
            <w:webHidden/>
          </w:rPr>
        </w:r>
        <w:r>
          <w:rPr>
            <w:noProof/>
            <w:webHidden/>
          </w:rPr>
          <w:fldChar w:fldCharType="separate"/>
        </w:r>
        <w:r w:rsidR="004D7D3B">
          <w:rPr>
            <w:noProof/>
            <w:webHidden/>
          </w:rPr>
          <w:t>4</w:t>
        </w:r>
        <w:r>
          <w:rPr>
            <w:noProof/>
            <w:webHidden/>
          </w:rPr>
          <w:fldChar w:fldCharType="end"/>
        </w:r>
      </w:hyperlink>
    </w:p>
    <w:p w14:paraId="1E77AC86" w14:textId="6AF7EF97" w:rsidR="00A27748" w:rsidRDefault="00A27748">
      <w:pPr>
        <w:pStyle w:val="TM2"/>
        <w:tabs>
          <w:tab w:val="left" w:pos="960"/>
          <w:tab w:val="right" w:leader="dot" w:pos="9061"/>
        </w:tabs>
        <w:rPr>
          <w:rFonts w:asciiTheme="minorHAnsi" w:eastAsiaTheme="minorEastAsia" w:hAnsiTheme="minorHAnsi" w:cstheme="minorBidi"/>
          <w:noProof/>
          <w:kern w:val="2"/>
          <w:sz w:val="24"/>
          <w:szCs w:val="24"/>
          <w14:ligatures w14:val="standardContextual"/>
        </w:rPr>
      </w:pPr>
      <w:hyperlink w:anchor="_Toc194078560" w:history="1">
        <w:r w:rsidRPr="00915E2E">
          <w:rPr>
            <w:rStyle w:val="Lienhypertexte"/>
            <w:noProof/>
          </w:rPr>
          <w:t>2.1</w:t>
        </w:r>
        <w:r>
          <w:rPr>
            <w:rFonts w:asciiTheme="minorHAnsi" w:eastAsiaTheme="minorEastAsia" w:hAnsiTheme="minorHAnsi" w:cstheme="minorBidi"/>
            <w:noProof/>
            <w:kern w:val="2"/>
            <w:sz w:val="24"/>
            <w:szCs w:val="24"/>
            <w14:ligatures w14:val="standardContextual"/>
          </w:rPr>
          <w:tab/>
        </w:r>
        <w:r w:rsidRPr="00915E2E">
          <w:rPr>
            <w:rStyle w:val="Lienhypertexte"/>
            <w:noProof/>
          </w:rPr>
          <w:t>Présentation des données</w:t>
        </w:r>
        <w:r>
          <w:rPr>
            <w:noProof/>
            <w:webHidden/>
          </w:rPr>
          <w:tab/>
        </w:r>
        <w:r>
          <w:rPr>
            <w:noProof/>
            <w:webHidden/>
          </w:rPr>
          <w:fldChar w:fldCharType="begin"/>
        </w:r>
        <w:r>
          <w:rPr>
            <w:noProof/>
            <w:webHidden/>
          </w:rPr>
          <w:instrText xml:space="preserve"> PAGEREF _Toc194078560 \h </w:instrText>
        </w:r>
        <w:r>
          <w:rPr>
            <w:noProof/>
            <w:webHidden/>
          </w:rPr>
        </w:r>
        <w:r>
          <w:rPr>
            <w:noProof/>
            <w:webHidden/>
          </w:rPr>
          <w:fldChar w:fldCharType="separate"/>
        </w:r>
        <w:r w:rsidR="004D7D3B">
          <w:rPr>
            <w:noProof/>
            <w:webHidden/>
          </w:rPr>
          <w:t>4</w:t>
        </w:r>
        <w:r>
          <w:rPr>
            <w:noProof/>
            <w:webHidden/>
          </w:rPr>
          <w:fldChar w:fldCharType="end"/>
        </w:r>
      </w:hyperlink>
    </w:p>
    <w:p w14:paraId="702254F0" w14:textId="157AE972" w:rsidR="00A27748" w:rsidRDefault="00A27748">
      <w:pPr>
        <w:pStyle w:val="TM2"/>
        <w:tabs>
          <w:tab w:val="left" w:pos="960"/>
          <w:tab w:val="right" w:leader="dot" w:pos="9061"/>
        </w:tabs>
        <w:rPr>
          <w:rFonts w:asciiTheme="minorHAnsi" w:eastAsiaTheme="minorEastAsia" w:hAnsiTheme="minorHAnsi" w:cstheme="minorBidi"/>
          <w:noProof/>
          <w:kern w:val="2"/>
          <w:sz w:val="24"/>
          <w:szCs w:val="24"/>
          <w14:ligatures w14:val="standardContextual"/>
        </w:rPr>
      </w:pPr>
      <w:hyperlink w:anchor="_Toc194078561" w:history="1">
        <w:r w:rsidRPr="00915E2E">
          <w:rPr>
            <w:rStyle w:val="Lienhypertexte"/>
            <w:noProof/>
          </w:rPr>
          <w:t>2.2</w:t>
        </w:r>
        <w:r>
          <w:rPr>
            <w:rFonts w:asciiTheme="minorHAnsi" w:eastAsiaTheme="minorEastAsia" w:hAnsiTheme="minorHAnsi" w:cstheme="minorBidi"/>
            <w:noProof/>
            <w:kern w:val="2"/>
            <w:sz w:val="24"/>
            <w:szCs w:val="24"/>
            <w14:ligatures w14:val="standardContextual"/>
          </w:rPr>
          <w:tab/>
        </w:r>
        <w:r w:rsidRPr="00915E2E">
          <w:rPr>
            <w:rStyle w:val="Lienhypertexte"/>
            <w:noProof/>
          </w:rPr>
          <w:t>Méthodologie</w:t>
        </w:r>
        <w:r>
          <w:rPr>
            <w:noProof/>
            <w:webHidden/>
          </w:rPr>
          <w:tab/>
        </w:r>
        <w:r>
          <w:rPr>
            <w:noProof/>
            <w:webHidden/>
          </w:rPr>
          <w:fldChar w:fldCharType="begin"/>
        </w:r>
        <w:r>
          <w:rPr>
            <w:noProof/>
            <w:webHidden/>
          </w:rPr>
          <w:instrText xml:space="preserve"> PAGEREF _Toc194078561 \h </w:instrText>
        </w:r>
        <w:r>
          <w:rPr>
            <w:noProof/>
            <w:webHidden/>
          </w:rPr>
        </w:r>
        <w:r>
          <w:rPr>
            <w:noProof/>
            <w:webHidden/>
          </w:rPr>
          <w:fldChar w:fldCharType="separate"/>
        </w:r>
        <w:r w:rsidR="004D7D3B">
          <w:rPr>
            <w:noProof/>
            <w:webHidden/>
          </w:rPr>
          <w:t>6</w:t>
        </w:r>
        <w:r>
          <w:rPr>
            <w:noProof/>
            <w:webHidden/>
          </w:rPr>
          <w:fldChar w:fldCharType="end"/>
        </w:r>
      </w:hyperlink>
    </w:p>
    <w:p w14:paraId="7021673B" w14:textId="567B0FDD"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62" w:history="1">
        <w:r w:rsidRPr="00915E2E">
          <w:rPr>
            <w:rStyle w:val="Lienhypertexte"/>
            <w:noProof/>
          </w:rPr>
          <w:t>2.2.1</w:t>
        </w:r>
        <w:r>
          <w:rPr>
            <w:rFonts w:asciiTheme="minorHAnsi" w:eastAsiaTheme="minorEastAsia" w:hAnsiTheme="minorHAnsi" w:cstheme="minorBidi"/>
            <w:noProof/>
            <w:kern w:val="2"/>
            <w:sz w:val="24"/>
            <w:szCs w:val="24"/>
            <w14:ligatures w14:val="standardContextual"/>
          </w:rPr>
          <w:tab/>
        </w:r>
        <w:r w:rsidRPr="00915E2E">
          <w:rPr>
            <w:rStyle w:val="Lienhypertexte"/>
            <w:noProof/>
          </w:rPr>
          <w:t>La rentabilité</w:t>
        </w:r>
        <w:r>
          <w:rPr>
            <w:noProof/>
            <w:webHidden/>
          </w:rPr>
          <w:tab/>
        </w:r>
        <w:r>
          <w:rPr>
            <w:noProof/>
            <w:webHidden/>
          </w:rPr>
          <w:fldChar w:fldCharType="begin"/>
        </w:r>
        <w:r>
          <w:rPr>
            <w:noProof/>
            <w:webHidden/>
          </w:rPr>
          <w:instrText xml:space="preserve"> PAGEREF _Toc194078562 \h </w:instrText>
        </w:r>
        <w:r>
          <w:rPr>
            <w:noProof/>
            <w:webHidden/>
          </w:rPr>
        </w:r>
        <w:r>
          <w:rPr>
            <w:noProof/>
            <w:webHidden/>
          </w:rPr>
          <w:fldChar w:fldCharType="separate"/>
        </w:r>
        <w:r w:rsidR="004D7D3B">
          <w:rPr>
            <w:noProof/>
            <w:webHidden/>
          </w:rPr>
          <w:t>6</w:t>
        </w:r>
        <w:r>
          <w:rPr>
            <w:noProof/>
            <w:webHidden/>
          </w:rPr>
          <w:fldChar w:fldCharType="end"/>
        </w:r>
      </w:hyperlink>
    </w:p>
    <w:p w14:paraId="4C823FF0" w14:textId="4376AC0F"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63" w:history="1">
        <w:r w:rsidRPr="00915E2E">
          <w:rPr>
            <w:rStyle w:val="Lienhypertexte"/>
            <w:noProof/>
          </w:rPr>
          <w:t>2.2.2</w:t>
        </w:r>
        <w:r>
          <w:rPr>
            <w:rFonts w:asciiTheme="minorHAnsi" w:eastAsiaTheme="minorEastAsia" w:hAnsiTheme="minorHAnsi" w:cstheme="minorBidi"/>
            <w:noProof/>
            <w:kern w:val="2"/>
            <w:sz w:val="24"/>
            <w:szCs w:val="24"/>
            <w14:ligatures w14:val="standardContextual"/>
          </w:rPr>
          <w:tab/>
        </w:r>
        <w:r w:rsidRPr="00915E2E">
          <w:rPr>
            <w:rStyle w:val="Lienhypertexte"/>
            <w:noProof/>
          </w:rPr>
          <w:t>La volatilité</w:t>
        </w:r>
        <w:r>
          <w:rPr>
            <w:noProof/>
            <w:webHidden/>
          </w:rPr>
          <w:tab/>
        </w:r>
        <w:r>
          <w:rPr>
            <w:noProof/>
            <w:webHidden/>
          </w:rPr>
          <w:fldChar w:fldCharType="begin"/>
        </w:r>
        <w:r>
          <w:rPr>
            <w:noProof/>
            <w:webHidden/>
          </w:rPr>
          <w:instrText xml:space="preserve"> PAGEREF _Toc194078563 \h </w:instrText>
        </w:r>
        <w:r>
          <w:rPr>
            <w:noProof/>
            <w:webHidden/>
          </w:rPr>
        </w:r>
        <w:r>
          <w:rPr>
            <w:noProof/>
            <w:webHidden/>
          </w:rPr>
          <w:fldChar w:fldCharType="separate"/>
        </w:r>
        <w:r w:rsidR="004D7D3B">
          <w:rPr>
            <w:noProof/>
            <w:webHidden/>
          </w:rPr>
          <w:t>7</w:t>
        </w:r>
        <w:r>
          <w:rPr>
            <w:noProof/>
            <w:webHidden/>
          </w:rPr>
          <w:fldChar w:fldCharType="end"/>
        </w:r>
      </w:hyperlink>
    </w:p>
    <w:p w14:paraId="3BDBBD9E" w14:textId="15FD2EDC"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64" w:history="1">
        <w:r w:rsidRPr="00915E2E">
          <w:rPr>
            <w:rStyle w:val="Lienhypertexte"/>
            <w:noProof/>
          </w:rPr>
          <w:t>2.2.3</w:t>
        </w:r>
        <w:r>
          <w:rPr>
            <w:rFonts w:asciiTheme="minorHAnsi" w:eastAsiaTheme="minorEastAsia" w:hAnsiTheme="minorHAnsi" w:cstheme="minorBidi"/>
            <w:noProof/>
            <w:kern w:val="2"/>
            <w:sz w:val="24"/>
            <w:szCs w:val="24"/>
            <w14:ligatures w14:val="standardContextual"/>
          </w:rPr>
          <w:tab/>
        </w:r>
        <w:r w:rsidRPr="00915E2E">
          <w:rPr>
            <w:rStyle w:val="Lienhypertexte"/>
            <w:noProof/>
          </w:rPr>
          <w:t>Le Beta</w:t>
        </w:r>
        <w:r>
          <w:rPr>
            <w:noProof/>
            <w:webHidden/>
          </w:rPr>
          <w:tab/>
        </w:r>
        <w:r>
          <w:rPr>
            <w:noProof/>
            <w:webHidden/>
          </w:rPr>
          <w:fldChar w:fldCharType="begin"/>
        </w:r>
        <w:r>
          <w:rPr>
            <w:noProof/>
            <w:webHidden/>
          </w:rPr>
          <w:instrText xml:space="preserve"> PAGEREF _Toc194078564 \h </w:instrText>
        </w:r>
        <w:r>
          <w:rPr>
            <w:noProof/>
            <w:webHidden/>
          </w:rPr>
        </w:r>
        <w:r>
          <w:rPr>
            <w:noProof/>
            <w:webHidden/>
          </w:rPr>
          <w:fldChar w:fldCharType="separate"/>
        </w:r>
        <w:r w:rsidR="004D7D3B">
          <w:rPr>
            <w:noProof/>
            <w:webHidden/>
          </w:rPr>
          <w:t>7</w:t>
        </w:r>
        <w:r>
          <w:rPr>
            <w:noProof/>
            <w:webHidden/>
          </w:rPr>
          <w:fldChar w:fldCharType="end"/>
        </w:r>
      </w:hyperlink>
    </w:p>
    <w:p w14:paraId="780631A8" w14:textId="45161DBB"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65" w:history="1">
        <w:r w:rsidRPr="00915E2E">
          <w:rPr>
            <w:rStyle w:val="Lienhypertexte"/>
            <w:noProof/>
          </w:rPr>
          <w:t>2.2.4</w:t>
        </w:r>
        <w:r>
          <w:rPr>
            <w:rFonts w:asciiTheme="minorHAnsi" w:eastAsiaTheme="minorEastAsia" w:hAnsiTheme="minorHAnsi" w:cstheme="minorBidi"/>
            <w:noProof/>
            <w:kern w:val="2"/>
            <w:sz w:val="24"/>
            <w:szCs w:val="24"/>
            <w14:ligatures w14:val="standardContextual"/>
          </w:rPr>
          <w:tab/>
        </w:r>
        <w:r w:rsidRPr="00915E2E">
          <w:rPr>
            <w:rStyle w:val="Lienhypertexte"/>
            <w:noProof/>
          </w:rPr>
          <w:t>La corrélation</w:t>
        </w:r>
        <w:r>
          <w:rPr>
            <w:noProof/>
            <w:webHidden/>
          </w:rPr>
          <w:tab/>
        </w:r>
        <w:r>
          <w:rPr>
            <w:noProof/>
            <w:webHidden/>
          </w:rPr>
          <w:fldChar w:fldCharType="begin"/>
        </w:r>
        <w:r>
          <w:rPr>
            <w:noProof/>
            <w:webHidden/>
          </w:rPr>
          <w:instrText xml:space="preserve"> PAGEREF _Toc194078565 \h </w:instrText>
        </w:r>
        <w:r>
          <w:rPr>
            <w:noProof/>
            <w:webHidden/>
          </w:rPr>
        </w:r>
        <w:r>
          <w:rPr>
            <w:noProof/>
            <w:webHidden/>
          </w:rPr>
          <w:fldChar w:fldCharType="separate"/>
        </w:r>
        <w:r w:rsidR="004D7D3B">
          <w:rPr>
            <w:noProof/>
            <w:webHidden/>
          </w:rPr>
          <w:t>8</w:t>
        </w:r>
        <w:r>
          <w:rPr>
            <w:noProof/>
            <w:webHidden/>
          </w:rPr>
          <w:fldChar w:fldCharType="end"/>
        </w:r>
      </w:hyperlink>
    </w:p>
    <w:p w14:paraId="20AC0361" w14:textId="412ACB59"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66" w:history="1">
        <w:r w:rsidRPr="00915E2E">
          <w:rPr>
            <w:rStyle w:val="Lienhypertexte"/>
            <w:noProof/>
          </w:rPr>
          <w:t>2.2.5</w:t>
        </w:r>
        <w:r>
          <w:rPr>
            <w:rFonts w:asciiTheme="minorHAnsi" w:eastAsiaTheme="minorEastAsia" w:hAnsiTheme="minorHAnsi" w:cstheme="minorBidi"/>
            <w:noProof/>
            <w:kern w:val="2"/>
            <w:sz w:val="24"/>
            <w:szCs w:val="24"/>
            <w14:ligatures w14:val="standardContextual"/>
          </w:rPr>
          <w:tab/>
        </w:r>
        <w:r w:rsidRPr="00915E2E">
          <w:rPr>
            <w:rStyle w:val="Lienhypertexte"/>
            <w:noProof/>
          </w:rPr>
          <w:t>Le maximum drawdown ou perte maximale</w:t>
        </w:r>
        <w:r>
          <w:rPr>
            <w:noProof/>
            <w:webHidden/>
          </w:rPr>
          <w:tab/>
        </w:r>
        <w:r>
          <w:rPr>
            <w:noProof/>
            <w:webHidden/>
          </w:rPr>
          <w:fldChar w:fldCharType="begin"/>
        </w:r>
        <w:r>
          <w:rPr>
            <w:noProof/>
            <w:webHidden/>
          </w:rPr>
          <w:instrText xml:space="preserve"> PAGEREF _Toc194078566 \h </w:instrText>
        </w:r>
        <w:r>
          <w:rPr>
            <w:noProof/>
            <w:webHidden/>
          </w:rPr>
        </w:r>
        <w:r>
          <w:rPr>
            <w:noProof/>
            <w:webHidden/>
          </w:rPr>
          <w:fldChar w:fldCharType="separate"/>
        </w:r>
        <w:r w:rsidR="004D7D3B">
          <w:rPr>
            <w:noProof/>
            <w:webHidden/>
          </w:rPr>
          <w:t>8</w:t>
        </w:r>
        <w:r>
          <w:rPr>
            <w:noProof/>
            <w:webHidden/>
          </w:rPr>
          <w:fldChar w:fldCharType="end"/>
        </w:r>
      </w:hyperlink>
    </w:p>
    <w:p w14:paraId="020A51C5" w14:textId="0F3D7081"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67" w:history="1">
        <w:r w:rsidRPr="00915E2E">
          <w:rPr>
            <w:rStyle w:val="Lienhypertexte"/>
            <w:noProof/>
          </w:rPr>
          <w:t>2.2.6</w:t>
        </w:r>
        <w:r>
          <w:rPr>
            <w:rFonts w:asciiTheme="minorHAnsi" w:eastAsiaTheme="minorEastAsia" w:hAnsiTheme="minorHAnsi" w:cstheme="minorBidi"/>
            <w:noProof/>
            <w:kern w:val="2"/>
            <w:sz w:val="24"/>
            <w:szCs w:val="24"/>
            <w14:ligatures w14:val="standardContextual"/>
          </w:rPr>
          <w:tab/>
        </w:r>
        <w:r w:rsidRPr="00915E2E">
          <w:rPr>
            <w:rStyle w:val="Lienhypertexte"/>
            <w:noProof/>
          </w:rPr>
          <w:t>Le modèle à 5 facteurs de Fama et French</w:t>
        </w:r>
        <w:r>
          <w:rPr>
            <w:noProof/>
            <w:webHidden/>
          </w:rPr>
          <w:tab/>
        </w:r>
        <w:r>
          <w:rPr>
            <w:noProof/>
            <w:webHidden/>
          </w:rPr>
          <w:fldChar w:fldCharType="begin"/>
        </w:r>
        <w:r>
          <w:rPr>
            <w:noProof/>
            <w:webHidden/>
          </w:rPr>
          <w:instrText xml:space="preserve"> PAGEREF _Toc194078567 \h </w:instrText>
        </w:r>
        <w:r>
          <w:rPr>
            <w:noProof/>
            <w:webHidden/>
          </w:rPr>
        </w:r>
        <w:r>
          <w:rPr>
            <w:noProof/>
            <w:webHidden/>
          </w:rPr>
          <w:fldChar w:fldCharType="separate"/>
        </w:r>
        <w:r w:rsidR="004D7D3B">
          <w:rPr>
            <w:noProof/>
            <w:webHidden/>
          </w:rPr>
          <w:t>9</w:t>
        </w:r>
        <w:r>
          <w:rPr>
            <w:noProof/>
            <w:webHidden/>
          </w:rPr>
          <w:fldChar w:fldCharType="end"/>
        </w:r>
      </w:hyperlink>
    </w:p>
    <w:p w14:paraId="60EFA883" w14:textId="1938BA86" w:rsidR="00A27748" w:rsidRDefault="00A27748">
      <w:pPr>
        <w:pStyle w:val="TM1"/>
        <w:tabs>
          <w:tab w:val="left" w:pos="400"/>
          <w:tab w:val="right" w:leader="dot" w:pos="9061"/>
        </w:tabs>
        <w:rPr>
          <w:rFonts w:asciiTheme="minorHAnsi" w:eastAsiaTheme="minorEastAsia" w:hAnsiTheme="minorHAnsi" w:cstheme="minorBidi"/>
          <w:noProof/>
          <w:kern w:val="2"/>
          <w:sz w:val="24"/>
          <w:szCs w:val="24"/>
          <w14:ligatures w14:val="standardContextual"/>
        </w:rPr>
      </w:pPr>
      <w:hyperlink w:anchor="_Toc194078568" w:history="1">
        <w:r w:rsidRPr="00915E2E">
          <w:rPr>
            <w:rStyle w:val="Lienhypertexte"/>
            <w:noProof/>
          </w:rPr>
          <w:t>3</w:t>
        </w:r>
        <w:r>
          <w:rPr>
            <w:rFonts w:asciiTheme="minorHAnsi" w:eastAsiaTheme="minorEastAsia" w:hAnsiTheme="minorHAnsi" w:cstheme="minorBidi"/>
            <w:noProof/>
            <w:kern w:val="2"/>
            <w:sz w:val="24"/>
            <w:szCs w:val="24"/>
            <w14:ligatures w14:val="standardContextual"/>
          </w:rPr>
          <w:tab/>
        </w:r>
        <w:r w:rsidRPr="00915E2E">
          <w:rPr>
            <w:rStyle w:val="Lienhypertexte"/>
            <w:noProof/>
          </w:rPr>
          <w:t>Résultats</w:t>
        </w:r>
        <w:r>
          <w:rPr>
            <w:noProof/>
            <w:webHidden/>
          </w:rPr>
          <w:tab/>
        </w:r>
        <w:r>
          <w:rPr>
            <w:noProof/>
            <w:webHidden/>
          </w:rPr>
          <w:fldChar w:fldCharType="begin"/>
        </w:r>
        <w:r>
          <w:rPr>
            <w:noProof/>
            <w:webHidden/>
          </w:rPr>
          <w:instrText xml:space="preserve"> PAGEREF _Toc194078568 \h </w:instrText>
        </w:r>
        <w:r>
          <w:rPr>
            <w:noProof/>
            <w:webHidden/>
          </w:rPr>
        </w:r>
        <w:r>
          <w:rPr>
            <w:noProof/>
            <w:webHidden/>
          </w:rPr>
          <w:fldChar w:fldCharType="separate"/>
        </w:r>
        <w:r w:rsidR="004D7D3B">
          <w:rPr>
            <w:noProof/>
            <w:webHidden/>
          </w:rPr>
          <w:t>10</w:t>
        </w:r>
        <w:r>
          <w:rPr>
            <w:noProof/>
            <w:webHidden/>
          </w:rPr>
          <w:fldChar w:fldCharType="end"/>
        </w:r>
      </w:hyperlink>
    </w:p>
    <w:p w14:paraId="6520A167" w14:textId="488D41F2" w:rsidR="00A27748" w:rsidRDefault="00A27748">
      <w:pPr>
        <w:pStyle w:val="TM2"/>
        <w:tabs>
          <w:tab w:val="left" w:pos="960"/>
          <w:tab w:val="right" w:leader="dot" w:pos="9061"/>
        </w:tabs>
        <w:rPr>
          <w:rFonts w:asciiTheme="minorHAnsi" w:eastAsiaTheme="minorEastAsia" w:hAnsiTheme="minorHAnsi" w:cstheme="minorBidi"/>
          <w:noProof/>
          <w:kern w:val="2"/>
          <w:sz w:val="24"/>
          <w:szCs w:val="24"/>
          <w14:ligatures w14:val="standardContextual"/>
        </w:rPr>
      </w:pPr>
      <w:hyperlink w:anchor="_Toc194078569" w:history="1">
        <w:r w:rsidRPr="00915E2E">
          <w:rPr>
            <w:rStyle w:val="Lienhypertexte"/>
            <w:noProof/>
          </w:rPr>
          <w:t>3.1</w:t>
        </w:r>
        <w:r>
          <w:rPr>
            <w:rFonts w:asciiTheme="minorHAnsi" w:eastAsiaTheme="minorEastAsia" w:hAnsiTheme="minorHAnsi" w:cstheme="minorBidi"/>
            <w:noProof/>
            <w:kern w:val="2"/>
            <w:sz w:val="24"/>
            <w:szCs w:val="24"/>
            <w14:ligatures w14:val="standardContextual"/>
          </w:rPr>
          <w:tab/>
        </w:r>
        <w:r w:rsidRPr="00915E2E">
          <w:rPr>
            <w:rStyle w:val="Lienhypertexte"/>
            <w:noProof/>
          </w:rPr>
          <w:t>Analyse globale sur la période 1998-2024</w:t>
        </w:r>
        <w:r>
          <w:rPr>
            <w:noProof/>
            <w:webHidden/>
          </w:rPr>
          <w:tab/>
        </w:r>
        <w:r>
          <w:rPr>
            <w:noProof/>
            <w:webHidden/>
          </w:rPr>
          <w:fldChar w:fldCharType="begin"/>
        </w:r>
        <w:r>
          <w:rPr>
            <w:noProof/>
            <w:webHidden/>
          </w:rPr>
          <w:instrText xml:space="preserve"> PAGEREF _Toc194078569 \h </w:instrText>
        </w:r>
        <w:r>
          <w:rPr>
            <w:noProof/>
            <w:webHidden/>
          </w:rPr>
        </w:r>
        <w:r>
          <w:rPr>
            <w:noProof/>
            <w:webHidden/>
          </w:rPr>
          <w:fldChar w:fldCharType="separate"/>
        </w:r>
        <w:r w:rsidR="004D7D3B">
          <w:rPr>
            <w:noProof/>
            <w:webHidden/>
          </w:rPr>
          <w:t>10</w:t>
        </w:r>
        <w:r>
          <w:rPr>
            <w:noProof/>
            <w:webHidden/>
          </w:rPr>
          <w:fldChar w:fldCharType="end"/>
        </w:r>
      </w:hyperlink>
    </w:p>
    <w:p w14:paraId="2FDCC7E8" w14:textId="03E6DECA" w:rsidR="00A27748" w:rsidRDefault="00A27748">
      <w:pPr>
        <w:pStyle w:val="TM2"/>
        <w:tabs>
          <w:tab w:val="left" w:pos="960"/>
          <w:tab w:val="right" w:leader="dot" w:pos="9061"/>
        </w:tabs>
        <w:rPr>
          <w:rFonts w:asciiTheme="minorHAnsi" w:eastAsiaTheme="minorEastAsia" w:hAnsiTheme="minorHAnsi" w:cstheme="minorBidi"/>
          <w:noProof/>
          <w:kern w:val="2"/>
          <w:sz w:val="24"/>
          <w:szCs w:val="24"/>
          <w14:ligatures w14:val="standardContextual"/>
        </w:rPr>
      </w:pPr>
      <w:hyperlink w:anchor="_Toc194078570" w:history="1">
        <w:r w:rsidRPr="00915E2E">
          <w:rPr>
            <w:rStyle w:val="Lienhypertexte"/>
            <w:noProof/>
          </w:rPr>
          <w:t>3.2</w:t>
        </w:r>
        <w:r>
          <w:rPr>
            <w:rFonts w:asciiTheme="minorHAnsi" w:eastAsiaTheme="minorEastAsia" w:hAnsiTheme="minorHAnsi" w:cstheme="minorBidi"/>
            <w:noProof/>
            <w:kern w:val="2"/>
            <w:sz w:val="24"/>
            <w:szCs w:val="24"/>
            <w14:ligatures w14:val="standardContextual"/>
          </w:rPr>
          <w:tab/>
        </w:r>
        <w:r w:rsidRPr="00915E2E">
          <w:rPr>
            <w:rStyle w:val="Lienhypertexte"/>
            <w:noProof/>
          </w:rPr>
          <w:t>Analyse par sous-périodes</w:t>
        </w:r>
        <w:r>
          <w:rPr>
            <w:noProof/>
            <w:webHidden/>
          </w:rPr>
          <w:tab/>
        </w:r>
        <w:r>
          <w:rPr>
            <w:noProof/>
            <w:webHidden/>
          </w:rPr>
          <w:fldChar w:fldCharType="begin"/>
        </w:r>
        <w:r>
          <w:rPr>
            <w:noProof/>
            <w:webHidden/>
          </w:rPr>
          <w:instrText xml:space="preserve"> PAGEREF _Toc194078570 \h </w:instrText>
        </w:r>
        <w:r>
          <w:rPr>
            <w:noProof/>
            <w:webHidden/>
          </w:rPr>
        </w:r>
        <w:r>
          <w:rPr>
            <w:noProof/>
            <w:webHidden/>
          </w:rPr>
          <w:fldChar w:fldCharType="separate"/>
        </w:r>
        <w:r w:rsidR="004D7D3B">
          <w:rPr>
            <w:noProof/>
            <w:webHidden/>
          </w:rPr>
          <w:t>13</w:t>
        </w:r>
        <w:r>
          <w:rPr>
            <w:noProof/>
            <w:webHidden/>
          </w:rPr>
          <w:fldChar w:fldCharType="end"/>
        </w:r>
      </w:hyperlink>
    </w:p>
    <w:p w14:paraId="43EDE0CE" w14:textId="015F1198"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71" w:history="1">
        <w:r w:rsidRPr="00915E2E">
          <w:rPr>
            <w:rStyle w:val="Lienhypertexte"/>
            <w:noProof/>
          </w:rPr>
          <w:t>3.2.1</w:t>
        </w:r>
        <w:r>
          <w:rPr>
            <w:rFonts w:asciiTheme="minorHAnsi" w:eastAsiaTheme="minorEastAsia" w:hAnsiTheme="minorHAnsi" w:cstheme="minorBidi"/>
            <w:noProof/>
            <w:kern w:val="2"/>
            <w:sz w:val="24"/>
            <w:szCs w:val="24"/>
            <w14:ligatures w14:val="standardContextual"/>
          </w:rPr>
          <w:tab/>
        </w:r>
        <w:r w:rsidRPr="00915E2E">
          <w:rPr>
            <w:rStyle w:val="Lienhypertexte"/>
            <w:noProof/>
          </w:rPr>
          <w:t>Bulle internet (décembre 1998 – décembre 2003)</w:t>
        </w:r>
        <w:r>
          <w:rPr>
            <w:noProof/>
            <w:webHidden/>
          </w:rPr>
          <w:tab/>
        </w:r>
        <w:r>
          <w:rPr>
            <w:noProof/>
            <w:webHidden/>
          </w:rPr>
          <w:fldChar w:fldCharType="begin"/>
        </w:r>
        <w:r>
          <w:rPr>
            <w:noProof/>
            <w:webHidden/>
          </w:rPr>
          <w:instrText xml:space="preserve"> PAGEREF _Toc194078571 \h </w:instrText>
        </w:r>
        <w:r>
          <w:rPr>
            <w:noProof/>
            <w:webHidden/>
          </w:rPr>
        </w:r>
        <w:r>
          <w:rPr>
            <w:noProof/>
            <w:webHidden/>
          </w:rPr>
          <w:fldChar w:fldCharType="separate"/>
        </w:r>
        <w:r w:rsidR="004D7D3B">
          <w:rPr>
            <w:noProof/>
            <w:webHidden/>
          </w:rPr>
          <w:t>13</w:t>
        </w:r>
        <w:r>
          <w:rPr>
            <w:noProof/>
            <w:webHidden/>
          </w:rPr>
          <w:fldChar w:fldCharType="end"/>
        </w:r>
      </w:hyperlink>
    </w:p>
    <w:p w14:paraId="17D60A4B" w14:textId="2DB9E4F1"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72" w:history="1">
        <w:r w:rsidRPr="00915E2E">
          <w:rPr>
            <w:rStyle w:val="Lienhypertexte"/>
            <w:noProof/>
          </w:rPr>
          <w:t>3.2.2</w:t>
        </w:r>
        <w:r>
          <w:rPr>
            <w:rFonts w:asciiTheme="minorHAnsi" w:eastAsiaTheme="minorEastAsia" w:hAnsiTheme="minorHAnsi" w:cstheme="minorBidi"/>
            <w:noProof/>
            <w:kern w:val="2"/>
            <w:sz w:val="24"/>
            <w:szCs w:val="24"/>
            <w14:ligatures w14:val="standardContextual"/>
          </w:rPr>
          <w:tab/>
        </w:r>
        <w:r w:rsidRPr="00915E2E">
          <w:rPr>
            <w:rStyle w:val="Lienhypertexte"/>
            <w:noProof/>
          </w:rPr>
          <w:t>Milieu des années 2000 (décembre 2003 – décembre 2007)</w:t>
        </w:r>
        <w:r>
          <w:rPr>
            <w:noProof/>
            <w:webHidden/>
          </w:rPr>
          <w:tab/>
        </w:r>
        <w:r>
          <w:rPr>
            <w:noProof/>
            <w:webHidden/>
          </w:rPr>
          <w:fldChar w:fldCharType="begin"/>
        </w:r>
        <w:r>
          <w:rPr>
            <w:noProof/>
            <w:webHidden/>
          </w:rPr>
          <w:instrText xml:space="preserve"> PAGEREF _Toc194078572 \h </w:instrText>
        </w:r>
        <w:r>
          <w:rPr>
            <w:noProof/>
            <w:webHidden/>
          </w:rPr>
        </w:r>
        <w:r>
          <w:rPr>
            <w:noProof/>
            <w:webHidden/>
          </w:rPr>
          <w:fldChar w:fldCharType="separate"/>
        </w:r>
        <w:r w:rsidR="004D7D3B">
          <w:rPr>
            <w:noProof/>
            <w:webHidden/>
          </w:rPr>
          <w:t>14</w:t>
        </w:r>
        <w:r>
          <w:rPr>
            <w:noProof/>
            <w:webHidden/>
          </w:rPr>
          <w:fldChar w:fldCharType="end"/>
        </w:r>
      </w:hyperlink>
    </w:p>
    <w:p w14:paraId="09558F5B" w14:textId="7EBE052E"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73" w:history="1">
        <w:r w:rsidRPr="00915E2E">
          <w:rPr>
            <w:rStyle w:val="Lienhypertexte"/>
            <w:noProof/>
          </w:rPr>
          <w:t>3.2.3</w:t>
        </w:r>
        <w:r>
          <w:rPr>
            <w:rFonts w:asciiTheme="minorHAnsi" w:eastAsiaTheme="minorEastAsia" w:hAnsiTheme="minorHAnsi" w:cstheme="minorBidi"/>
            <w:noProof/>
            <w:kern w:val="2"/>
            <w:sz w:val="24"/>
            <w:szCs w:val="24"/>
            <w14:ligatures w14:val="standardContextual"/>
          </w:rPr>
          <w:tab/>
        </w:r>
        <w:r w:rsidRPr="00915E2E">
          <w:rPr>
            <w:rStyle w:val="Lienhypertexte"/>
            <w:noProof/>
          </w:rPr>
          <w:t>Crise des subprimes (décembre 2007 – décembre 2009)</w:t>
        </w:r>
        <w:r>
          <w:rPr>
            <w:noProof/>
            <w:webHidden/>
          </w:rPr>
          <w:tab/>
        </w:r>
        <w:r>
          <w:rPr>
            <w:noProof/>
            <w:webHidden/>
          </w:rPr>
          <w:fldChar w:fldCharType="begin"/>
        </w:r>
        <w:r>
          <w:rPr>
            <w:noProof/>
            <w:webHidden/>
          </w:rPr>
          <w:instrText xml:space="preserve"> PAGEREF _Toc194078573 \h </w:instrText>
        </w:r>
        <w:r>
          <w:rPr>
            <w:noProof/>
            <w:webHidden/>
          </w:rPr>
        </w:r>
        <w:r>
          <w:rPr>
            <w:noProof/>
            <w:webHidden/>
          </w:rPr>
          <w:fldChar w:fldCharType="separate"/>
        </w:r>
        <w:r w:rsidR="004D7D3B">
          <w:rPr>
            <w:noProof/>
            <w:webHidden/>
          </w:rPr>
          <w:t>15</w:t>
        </w:r>
        <w:r>
          <w:rPr>
            <w:noProof/>
            <w:webHidden/>
          </w:rPr>
          <w:fldChar w:fldCharType="end"/>
        </w:r>
      </w:hyperlink>
    </w:p>
    <w:p w14:paraId="32693AB3" w14:textId="6D94BEC9"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74" w:history="1">
        <w:r w:rsidRPr="00915E2E">
          <w:rPr>
            <w:rStyle w:val="Lienhypertexte"/>
            <w:noProof/>
          </w:rPr>
          <w:t>3.2.4</w:t>
        </w:r>
        <w:r>
          <w:rPr>
            <w:rFonts w:asciiTheme="minorHAnsi" w:eastAsiaTheme="minorEastAsia" w:hAnsiTheme="minorHAnsi" w:cstheme="minorBidi"/>
            <w:noProof/>
            <w:kern w:val="2"/>
            <w:sz w:val="24"/>
            <w:szCs w:val="24"/>
            <w14:ligatures w14:val="standardContextual"/>
          </w:rPr>
          <w:tab/>
        </w:r>
        <w:r w:rsidRPr="00915E2E">
          <w:rPr>
            <w:rStyle w:val="Lienhypertexte"/>
            <w:noProof/>
          </w:rPr>
          <w:t>Crise de la zone euro (décembre 2009 – décembre 2012)</w:t>
        </w:r>
        <w:r>
          <w:rPr>
            <w:noProof/>
            <w:webHidden/>
          </w:rPr>
          <w:tab/>
        </w:r>
        <w:r>
          <w:rPr>
            <w:noProof/>
            <w:webHidden/>
          </w:rPr>
          <w:fldChar w:fldCharType="begin"/>
        </w:r>
        <w:r>
          <w:rPr>
            <w:noProof/>
            <w:webHidden/>
          </w:rPr>
          <w:instrText xml:space="preserve"> PAGEREF _Toc194078574 \h </w:instrText>
        </w:r>
        <w:r>
          <w:rPr>
            <w:noProof/>
            <w:webHidden/>
          </w:rPr>
        </w:r>
        <w:r>
          <w:rPr>
            <w:noProof/>
            <w:webHidden/>
          </w:rPr>
          <w:fldChar w:fldCharType="separate"/>
        </w:r>
        <w:r w:rsidR="004D7D3B">
          <w:rPr>
            <w:noProof/>
            <w:webHidden/>
          </w:rPr>
          <w:t>16</w:t>
        </w:r>
        <w:r>
          <w:rPr>
            <w:noProof/>
            <w:webHidden/>
          </w:rPr>
          <w:fldChar w:fldCharType="end"/>
        </w:r>
      </w:hyperlink>
    </w:p>
    <w:p w14:paraId="09FDB80D" w14:textId="7797A502"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75" w:history="1">
        <w:r w:rsidRPr="00915E2E">
          <w:rPr>
            <w:rStyle w:val="Lienhypertexte"/>
            <w:noProof/>
          </w:rPr>
          <w:t>3.2.5</w:t>
        </w:r>
        <w:r>
          <w:rPr>
            <w:rFonts w:asciiTheme="minorHAnsi" w:eastAsiaTheme="minorEastAsia" w:hAnsiTheme="minorHAnsi" w:cstheme="minorBidi"/>
            <w:noProof/>
            <w:kern w:val="2"/>
            <w:sz w:val="24"/>
            <w:szCs w:val="24"/>
            <w14:ligatures w14:val="standardContextual"/>
          </w:rPr>
          <w:tab/>
        </w:r>
        <w:r w:rsidRPr="00915E2E">
          <w:rPr>
            <w:rStyle w:val="Lienhypertexte"/>
            <w:noProof/>
          </w:rPr>
          <w:t>Reprise et expansion des années 2010 (décembre 2012 – décembre 2019)</w:t>
        </w:r>
        <w:r>
          <w:rPr>
            <w:noProof/>
            <w:webHidden/>
          </w:rPr>
          <w:tab/>
        </w:r>
        <w:r>
          <w:rPr>
            <w:noProof/>
            <w:webHidden/>
          </w:rPr>
          <w:fldChar w:fldCharType="begin"/>
        </w:r>
        <w:r>
          <w:rPr>
            <w:noProof/>
            <w:webHidden/>
          </w:rPr>
          <w:instrText xml:space="preserve"> PAGEREF _Toc194078575 \h </w:instrText>
        </w:r>
        <w:r>
          <w:rPr>
            <w:noProof/>
            <w:webHidden/>
          </w:rPr>
        </w:r>
        <w:r>
          <w:rPr>
            <w:noProof/>
            <w:webHidden/>
          </w:rPr>
          <w:fldChar w:fldCharType="separate"/>
        </w:r>
        <w:r w:rsidR="004D7D3B">
          <w:rPr>
            <w:noProof/>
            <w:webHidden/>
          </w:rPr>
          <w:t>18</w:t>
        </w:r>
        <w:r>
          <w:rPr>
            <w:noProof/>
            <w:webHidden/>
          </w:rPr>
          <w:fldChar w:fldCharType="end"/>
        </w:r>
      </w:hyperlink>
    </w:p>
    <w:p w14:paraId="658A8816" w14:textId="5AF2CA74"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76" w:history="1">
        <w:r w:rsidRPr="00915E2E">
          <w:rPr>
            <w:rStyle w:val="Lienhypertexte"/>
            <w:noProof/>
          </w:rPr>
          <w:t>3.2.6</w:t>
        </w:r>
        <w:r>
          <w:rPr>
            <w:rFonts w:asciiTheme="minorHAnsi" w:eastAsiaTheme="minorEastAsia" w:hAnsiTheme="minorHAnsi" w:cstheme="minorBidi"/>
            <w:noProof/>
            <w:kern w:val="2"/>
            <w:sz w:val="24"/>
            <w:szCs w:val="24"/>
            <w14:ligatures w14:val="standardContextual"/>
          </w:rPr>
          <w:tab/>
        </w:r>
        <w:r w:rsidRPr="00915E2E">
          <w:rPr>
            <w:rStyle w:val="Lienhypertexte"/>
            <w:noProof/>
          </w:rPr>
          <w:t>Pandémie de COVID-19 (décembre 2019 – décembre 2021)</w:t>
        </w:r>
        <w:r>
          <w:rPr>
            <w:noProof/>
            <w:webHidden/>
          </w:rPr>
          <w:tab/>
        </w:r>
        <w:r>
          <w:rPr>
            <w:noProof/>
            <w:webHidden/>
          </w:rPr>
          <w:fldChar w:fldCharType="begin"/>
        </w:r>
        <w:r>
          <w:rPr>
            <w:noProof/>
            <w:webHidden/>
          </w:rPr>
          <w:instrText xml:space="preserve"> PAGEREF _Toc194078576 \h </w:instrText>
        </w:r>
        <w:r>
          <w:rPr>
            <w:noProof/>
            <w:webHidden/>
          </w:rPr>
        </w:r>
        <w:r>
          <w:rPr>
            <w:noProof/>
            <w:webHidden/>
          </w:rPr>
          <w:fldChar w:fldCharType="separate"/>
        </w:r>
        <w:r w:rsidR="004D7D3B">
          <w:rPr>
            <w:noProof/>
            <w:webHidden/>
          </w:rPr>
          <w:t>19</w:t>
        </w:r>
        <w:r>
          <w:rPr>
            <w:noProof/>
            <w:webHidden/>
          </w:rPr>
          <w:fldChar w:fldCharType="end"/>
        </w:r>
      </w:hyperlink>
    </w:p>
    <w:p w14:paraId="0E93AB22" w14:textId="505090BE" w:rsidR="00A27748" w:rsidRDefault="00A27748">
      <w:pPr>
        <w:pStyle w:val="TM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94078577" w:history="1">
        <w:r w:rsidRPr="00915E2E">
          <w:rPr>
            <w:rStyle w:val="Lienhypertexte"/>
            <w:noProof/>
          </w:rPr>
          <w:t>3.2.7</w:t>
        </w:r>
        <w:r>
          <w:rPr>
            <w:rFonts w:asciiTheme="minorHAnsi" w:eastAsiaTheme="minorEastAsia" w:hAnsiTheme="minorHAnsi" w:cstheme="minorBidi"/>
            <w:noProof/>
            <w:kern w:val="2"/>
            <w:sz w:val="24"/>
            <w:szCs w:val="24"/>
            <w14:ligatures w14:val="standardContextual"/>
          </w:rPr>
          <w:tab/>
        </w:r>
        <w:r w:rsidRPr="00915E2E">
          <w:rPr>
            <w:rStyle w:val="Lienhypertexte"/>
            <w:noProof/>
          </w:rPr>
          <w:t>Ere post-COVID 19 (décembre 2021- décembre 2024)</w:t>
        </w:r>
        <w:r>
          <w:rPr>
            <w:noProof/>
            <w:webHidden/>
          </w:rPr>
          <w:tab/>
        </w:r>
        <w:r>
          <w:rPr>
            <w:noProof/>
            <w:webHidden/>
          </w:rPr>
          <w:fldChar w:fldCharType="begin"/>
        </w:r>
        <w:r>
          <w:rPr>
            <w:noProof/>
            <w:webHidden/>
          </w:rPr>
          <w:instrText xml:space="preserve"> PAGEREF _Toc194078577 \h </w:instrText>
        </w:r>
        <w:r>
          <w:rPr>
            <w:noProof/>
            <w:webHidden/>
          </w:rPr>
        </w:r>
        <w:r>
          <w:rPr>
            <w:noProof/>
            <w:webHidden/>
          </w:rPr>
          <w:fldChar w:fldCharType="separate"/>
        </w:r>
        <w:r w:rsidR="004D7D3B">
          <w:rPr>
            <w:noProof/>
            <w:webHidden/>
          </w:rPr>
          <w:t>20</w:t>
        </w:r>
        <w:r>
          <w:rPr>
            <w:noProof/>
            <w:webHidden/>
          </w:rPr>
          <w:fldChar w:fldCharType="end"/>
        </w:r>
      </w:hyperlink>
    </w:p>
    <w:p w14:paraId="5218E37C" w14:textId="1563A4A8" w:rsidR="00A27748" w:rsidRDefault="00A27748">
      <w:pPr>
        <w:pStyle w:val="TM1"/>
        <w:tabs>
          <w:tab w:val="left" w:pos="400"/>
          <w:tab w:val="right" w:leader="dot" w:pos="9061"/>
        </w:tabs>
        <w:rPr>
          <w:rFonts w:asciiTheme="minorHAnsi" w:eastAsiaTheme="minorEastAsia" w:hAnsiTheme="minorHAnsi" w:cstheme="minorBidi"/>
          <w:noProof/>
          <w:kern w:val="2"/>
          <w:sz w:val="24"/>
          <w:szCs w:val="24"/>
          <w14:ligatures w14:val="standardContextual"/>
        </w:rPr>
      </w:pPr>
      <w:hyperlink w:anchor="_Toc194078578" w:history="1">
        <w:r w:rsidRPr="00915E2E">
          <w:rPr>
            <w:rStyle w:val="Lienhypertexte"/>
            <w:noProof/>
          </w:rPr>
          <w:t>4</w:t>
        </w:r>
        <w:r>
          <w:rPr>
            <w:rFonts w:asciiTheme="minorHAnsi" w:eastAsiaTheme="minorEastAsia" w:hAnsiTheme="minorHAnsi" w:cstheme="minorBidi"/>
            <w:noProof/>
            <w:kern w:val="2"/>
            <w:sz w:val="24"/>
            <w:szCs w:val="24"/>
            <w14:ligatures w14:val="standardContextual"/>
          </w:rPr>
          <w:tab/>
        </w:r>
        <w:r w:rsidRPr="00915E2E">
          <w:rPr>
            <w:rStyle w:val="Lienhypertexte"/>
            <w:noProof/>
          </w:rPr>
          <w:t>Conclusion</w:t>
        </w:r>
        <w:r>
          <w:rPr>
            <w:noProof/>
            <w:webHidden/>
          </w:rPr>
          <w:tab/>
        </w:r>
        <w:r>
          <w:rPr>
            <w:noProof/>
            <w:webHidden/>
          </w:rPr>
          <w:fldChar w:fldCharType="begin"/>
        </w:r>
        <w:r>
          <w:rPr>
            <w:noProof/>
            <w:webHidden/>
          </w:rPr>
          <w:instrText xml:space="preserve"> PAGEREF _Toc194078578 \h </w:instrText>
        </w:r>
        <w:r>
          <w:rPr>
            <w:noProof/>
            <w:webHidden/>
          </w:rPr>
        </w:r>
        <w:r>
          <w:rPr>
            <w:noProof/>
            <w:webHidden/>
          </w:rPr>
          <w:fldChar w:fldCharType="separate"/>
        </w:r>
        <w:r w:rsidR="004D7D3B">
          <w:rPr>
            <w:noProof/>
            <w:webHidden/>
          </w:rPr>
          <w:t>21</w:t>
        </w:r>
        <w:r>
          <w:rPr>
            <w:noProof/>
            <w:webHidden/>
          </w:rPr>
          <w:fldChar w:fldCharType="end"/>
        </w:r>
      </w:hyperlink>
    </w:p>
    <w:p w14:paraId="565B77D3" w14:textId="1FDBE55D" w:rsidR="00DB48E0" w:rsidRDefault="00A27748">
      <w:r>
        <w:fldChar w:fldCharType="end"/>
      </w:r>
    </w:p>
    <w:p w14:paraId="0E10AA94" w14:textId="77777777" w:rsidR="00DB48E0" w:rsidRDefault="00000000">
      <w:pPr>
        <w:spacing w:before="0" w:after="200" w:line="276" w:lineRule="auto"/>
        <w:jc w:val="left"/>
      </w:pPr>
      <w:r>
        <w:br w:type="page"/>
      </w:r>
    </w:p>
    <w:p w14:paraId="306CA9D6" w14:textId="77777777" w:rsidR="00DB48E0" w:rsidRDefault="00000000">
      <w:r>
        <w:lastRenderedPageBreak/>
        <w:t>LISTE DES TABLEAUX</w:t>
      </w:r>
    </w:p>
    <w:p w14:paraId="61701280" w14:textId="3A136E88"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r>
        <w:fldChar w:fldCharType="begin"/>
      </w:r>
      <w:r>
        <w:instrText xml:space="preserve"> TOC \h \z \c "Tableau" </w:instrText>
      </w:r>
      <w:r>
        <w:fldChar w:fldCharType="separate"/>
      </w:r>
      <w:hyperlink w:anchor="_Toc194078591" w:history="1">
        <w:r w:rsidRPr="005D03E2">
          <w:rPr>
            <w:rStyle w:val="Lienhypertexte"/>
            <w:noProof/>
          </w:rPr>
          <w:t>Tableau 1. Les indices représentatifs des styles</w:t>
        </w:r>
        <w:r>
          <w:rPr>
            <w:noProof/>
            <w:webHidden/>
          </w:rPr>
          <w:tab/>
        </w:r>
        <w:r>
          <w:rPr>
            <w:noProof/>
            <w:webHidden/>
          </w:rPr>
          <w:fldChar w:fldCharType="begin"/>
        </w:r>
        <w:r>
          <w:rPr>
            <w:noProof/>
            <w:webHidden/>
          </w:rPr>
          <w:instrText xml:space="preserve"> PAGEREF _Toc194078591 \h </w:instrText>
        </w:r>
        <w:r>
          <w:rPr>
            <w:noProof/>
            <w:webHidden/>
          </w:rPr>
        </w:r>
        <w:r>
          <w:rPr>
            <w:noProof/>
            <w:webHidden/>
          </w:rPr>
          <w:fldChar w:fldCharType="separate"/>
        </w:r>
        <w:r w:rsidR="004D7D3B">
          <w:rPr>
            <w:noProof/>
            <w:webHidden/>
          </w:rPr>
          <w:t>4</w:t>
        </w:r>
        <w:r>
          <w:rPr>
            <w:noProof/>
            <w:webHidden/>
          </w:rPr>
          <w:fldChar w:fldCharType="end"/>
        </w:r>
      </w:hyperlink>
    </w:p>
    <w:p w14:paraId="238293B1" w14:textId="6939A5DB"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592" w:history="1">
        <w:r w:rsidRPr="005D03E2">
          <w:rPr>
            <w:rStyle w:val="Lienhypertexte"/>
            <w:noProof/>
          </w:rPr>
          <w:t>Tableau 2. Statistiques descriptives</w:t>
        </w:r>
        <w:r>
          <w:rPr>
            <w:noProof/>
            <w:webHidden/>
          </w:rPr>
          <w:tab/>
        </w:r>
        <w:r>
          <w:rPr>
            <w:noProof/>
            <w:webHidden/>
          </w:rPr>
          <w:fldChar w:fldCharType="begin"/>
        </w:r>
        <w:r>
          <w:rPr>
            <w:noProof/>
            <w:webHidden/>
          </w:rPr>
          <w:instrText xml:space="preserve"> PAGEREF _Toc194078592 \h </w:instrText>
        </w:r>
        <w:r>
          <w:rPr>
            <w:noProof/>
            <w:webHidden/>
          </w:rPr>
        </w:r>
        <w:r>
          <w:rPr>
            <w:noProof/>
            <w:webHidden/>
          </w:rPr>
          <w:fldChar w:fldCharType="separate"/>
        </w:r>
        <w:r w:rsidR="004D7D3B">
          <w:rPr>
            <w:noProof/>
            <w:webHidden/>
          </w:rPr>
          <w:t>5</w:t>
        </w:r>
        <w:r>
          <w:rPr>
            <w:noProof/>
            <w:webHidden/>
          </w:rPr>
          <w:fldChar w:fldCharType="end"/>
        </w:r>
      </w:hyperlink>
    </w:p>
    <w:p w14:paraId="6368A2F3" w14:textId="0F83E90B"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593" w:history="1">
        <w:r w:rsidRPr="005D03E2">
          <w:rPr>
            <w:rStyle w:val="Lienhypertexte"/>
            <w:noProof/>
          </w:rPr>
          <w:t>Tableau 3. Les sous-périodes</w:t>
        </w:r>
        <w:r>
          <w:rPr>
            <w:noProof/>
            <w:webHidden/>
          </w:rPr>
          <w:tab/>
        </w:r>
        <w:r>
          <w:rPr>
            <w:noProof/>
            <w:webHidden/>
          </w:rPr>
          <w:fldChar w:fldCharType="begin"/>
        </w:r>
        <w:r>
          <w:rPr>
            <w:noProof/>
            <w:webHidden/>
          </w:rPr>
          <w:instrText xml:space="preserve"> PAGEREF _Toc194078593 \h </w:instrText>
        </w:r>
        <w:r>
          <w:rPr>
            <w:noProof/>
            <w:webHidden/>
          </w:rPr>
        </w:r>
        <w:r>
          <w:rPr>
            <w:noProof/>
            <w:webHidden/>
          </w:rPr>
          <w:fldChar w:fldCharType="separate"/>
        </w:r>
        <w:r w:rsidR="004D7D3B">
          <w:rPr>
            <w:noProof/>
            <w:webHidden/>
          </w:rPr>
          <w:t>6</w:t>
        </w:r>
        <w:r>
          <w:rPr>
            <w:noProof/>
            <w:webHidden/>
          </w:rPr>
          <w:fldChar w:fldCharType="end"/>
        </w:r>
      </w:hyperlink>
    </w:p>
    <w:p w14:paraId="40402037" w14:textId="77AF6A4F"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594" w:history="1">
        <w:r w:rsidRPr="005D03E2">
          <w:rPr>
            <w:rStyle w:val="Lienhypertexte"/>
            <w:noProof/>
          </w:rPr>
          <w:t>Tableau 4. Les bêtas par rapport au MSCI Europe des styles d’investissement</w:t>
        </w:r>
        <w:r>
          <w:rPr>
            <w:noProof/>
            <w:webHidden/>
          </w:rPr>
          <w:tab/>
        </w:r>
        <w:r>
          <w:rPr>
            <w:noProof/>
            <w:webHidden/>
          </w:rPr>
          <w:fldChar w:fldCharType="begin"/>
        </w:r>
        <w:r>
          <w:rPr>
            <w:noProof/>
            <w:webHidden/>
          </w:rPr>
          <w:instrText xml:space="preserve"> PAGEREF _Toc194078594 \h </w:instrText>
        </w:r>
        <w:r>
          <w:rPr>
            <w:noProof/>
            <w:webHidden/>
          </w:rPr>
        </w:r>
        <w:r>
          <w:rPr>
            <w:noProof/>
            <w:webHidden/>
          </w:rPr>
          <w:fldChar w:fldCharType="separate"/>
        </w:r>
        <w:r w:rsidR="004D7D3B">
          <w:rPr>
            <w:noProof/>
            <w:webHidden/>
          </w:rPr>
          <w:t>11</w:t>
        </w:r>
        <w:r>
          <w:rPr>
            <w:noProof/>
            <w:webHidden/>
          </w:rPr>
          <w:fldChar w:fldCharType="end"/>
        </w:r>
      </w:hyperlink>
    </w:p>
    <w:p w14:paraId="7720B2F2" w14:textId="321251CF"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595" w:history="1">
        <w:r w:rsidRPr="005D03E2">
          <w:rPr>
            <w:rStyle w:val="Lienhypertexte"/>
            <w:noProof/>
          </w:rPr>
          <w:t>Tableau 5. Application du modèle à 5 facteurs de Fama et French</w:t>
        </w:r>
        <w:r>
          <w:rPr>
            <w:noProof/>
            <w:webHidden/>
          </w:rPr>
          <w:tab/>
        </w:r>
        <w:r>
          <w:rPr>
            <w:noProof/>
            <w:webHidden/>
          </w:rPr>
          <w:fldChar w:fldCharType="begin"/>
        </w:r>
        <w:r>
          <w:rPr>
            <w:noProof/>
            <w:webHidden/>
          </w:rPr>
          <w:instrText xml:space="preserve"> PAGEREF _Toc194078595 \h </w:instrText>
        </w:r>
        <w:r>
          <w:rPr>
            <w:noProof/>
            <w:webHidden/>
          </w:rPr>
        </w:r>
        <w:r>
          <w:rPr>
            <w:noProof/>
            <w:webHidden/>
          </w:rPr>
          <w:fldChar w:fldCharType="separate"/>
        </w:r>
        <w:r w:rsidR="004D7D3B">
          <w:rPr>
            <w:noProof/>
            <w:webHidden/>
          </w:rPr>
          <w:t>12</w:t>
        </w:r>
        <w:r>
          <w:rPr>
            <w:noProof/>
            <w:webHidden/>
          </w:rPr>
          <w:fldChar w:fldCharType="end"/>
        </w:r>
      </w:hyperlink>
    </w:p>
    <w:p w14:paraId="3C7DED5E" w14:textId="3F41B018"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596" w:history="1">
        <w:r w:rsidRPr="005D03E2">
          <w:rPr>
            <w:rStyle w:val="Lienhypertexte"/>
            <w:noProof/>
          </w:rPr>
          <w:t>Tableau 6. Indicateurs de performances et de risque des styles pendant la bulle internet</w:t>
        </w:r>
        <w:r>
          <w:rPr>
            <w:noProof/>
            <w:webHidden/>
          </w:rPr>
          <w:tab/>
        </w:r>
        <w:r>
          <w:rPr>
            <w:noProof/>
            <w:webHidden/>
          </w:rPr>
          <w:fldChar w:fldCharType="begin"/>
        </w:r>
        <w:r>
          <w:rPr>
            <w:noProof/>
            <w:webHidden/>
          </w:rPr>
          <w:instrText xml:space="preserve"> PAGEREF _Toc194078596 \h </w:instrText>
        </w:r>
        <w:r>
          <w:rPr>
            <w:noProof/>
            <w:webHidden/>
          </w:rPr>
        </w:r>
        <w:r>
          <w:rPr>
            <w:noProof/>
            <w:webHidden/>
          </w:rPr>
          <w:fldChar w:fldCharType="separate"/>
        </w:r>
        <w:r w:rsidR="004D7D3B">
          <w:rPr>
            <w:noProof/>
            <w:webHidden/>
          </w:rPr>
          <w:t>13</w:t>
        </w:r>
        <w:r>
          <w:rPr>
            <w:noProof/>
            <w:webHidden/>
          </w:rPr>
          <w:fldChar w:fldCharType="end"/>
        </w:r>
      </w:hyperlink>
    </w:p>
    <w:p w14:paraId="460807F0" w14:textId="59E14140"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597" w:history="1">
        <w:r w:rsidRPr="005D03E2">
          <w:rPr>
            <w:rStyle w:val="Lienhypertexte"/>
            <w:noProof/>
          </w:rPr>
          <w:t>Tableau 7. Indicateurs de performances et de risque des styles pendant le milieu des années 2000</w:t>
        </w:r>
        <w:r>
          <w:rPr>
            <w:noProof/>
            <w:webHidden/>
          </w:rPr>
          <w:tab/>
        </w:r>
        <w:r>
          <w:rPr>
            <w:noProof/>
            <w:webHidden/>
          </w:rPr>
          <w:fldChar w:fldCharType="begin"/>
        </w:r>
        <w:r>
          <w:rPr>
            <w:noProof/>
            <w:webHidden/>
          </w:rPr>
          <w:instrText xml:space="preserve"> PAGEREF _Toc194078597 \h </w:instrText>
        </w:r>
        <w:r>
          <w:rPr>
            <w:noProof/>
            <w:webHidden/>
          </w:rPr>
        </w:r>
        <w:r>
          <w:rPr>
            <w:noProof/>
            <w:webHidden/>
          </w:rPr>
          <w:fldChar w:fldCharType="separate"/>
        </w:r>
        <w:r w:rsidR="004D7D3B">
          <w:rPr>
            <w:noProof/>
            <w:webHidden/>
          </w:rPr>
          <w:t>15</w:t>
        </w:r>
        <w:r>
          <w:rPr>
            <w:noProof/>
            <w:webHidden/>
          </w:rPr>
          <w:fldChar w:fldCharType="end"/>
        </w:r>
      </w:hyperlink>
    </w:p>
    <w:p w14:paraId="3D256565" w14:textId="26B6646F"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598" w:history="1">
        <w:r w:rsidRPr="005D03E2">
          <w:rPr>
            <w:rStyle w:val="Lienhypertexte"/>
            <w:noProof/>
          </w:rPr>
          <w:t>Tableau 8. Indicateurs de performances et de risque des styles pendant la crise des subprimes</w:t>
        </w:r>
        <w:r>
          <w:rPr>
            <w:noProof/>
            <w:webHidden/>
          </w:rPr>
          <w:tab/>
        </w:r>
        <w:r>
          <w:rPr>
            <w:noProof/>
            <w:webHidden/>
          </w:rPr>
          <w:fldChar w:fldCharType="begin"/>
        </w:r>
        <w:r>
          <w:rPr>
            <w:noProof/>
            <w:webHidden/>
          </w:rPr>
          <w:instrText xml:space="preserve"> PAGEREF _Toc194078598 \h </w:instrText>
        </w:r>
        <w:r>
          <w:rPr>
            <w:noProof/>
            <w:webHidden/>
          </w:rPr>
        </w:r>
        <w:r>
          <w:rPr>
            <w:noProof/>
            <w:webHidden/>
          </w:rPr>
          <w:fldChar w:fldCharType="separate"/>
        </w:r>
        <w:r w:rsidR="004D7D3B">
          <w:rPr>
            <w:noProof/>
            <w:webHidden/>
          </w:rPr>
          <w:t>16</w:t>
        </w:r>
        <w:r>
          <w:rPr>
            <w:noProof/>
            <w:webHidden/>
          </w:rPr>
          <w:fldChar w:fldCharType="end"/>
        </w:r>
      </w:hyperlink>
    </w:p>
    <w:p w14:paraId="5EAF9A0C" w14:textId="78C1CBE9"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599" w:history="1">
        <w:r w:rsidRPr="005D03E2">
          <w:rPr>
            <w:rStyle w:val="Lienhypertexte"/>
            <w:noProof/>
          </w:rPr>
          <w:t>Tableau 9. Indicateurs de performances et de risque des styles pendant la crise de la zone euro</w:t>
        </w:r>
        <w:r>
          <w:rPr>
            <w:noProof/>
            <w:webHidden/>
          </w:rPr>
          <w:tab/>
        </w:r>
        <w:r>
          <w:rPr>
            <w:noProof/>
            <w:webHidden/>
          </w:rPr>
          <w:fldChar w:fldCharType="begin"/>
        </w:r>
        <w:r>
          <w:rPr>
            <w:noProof/>
            <w:webHidden/>
          </w:rPr>
          <w:instrText xml:space="preserve"> PAGEREF _Toc194078599 \h </w:instrText>
        </w:r>
        <w:r>
          <w:rPr>
            <w:noProof/>
            <w:webHidden/>
          </w:rPr>
        </w:r>
        <w:r>
          <w:rPr>
            <w:noProof/>
            <w:webHidden/>
          </w:rPr>
          <w:fldChar w:fldCharType="separate"/>
        </w:r>
        <w:r w:rsidR="004D7D3B">
          <w:rPr>
            <w:noProof/>
            <w:webHidden/>
          </w:rPr>
          <w:t>17</w:t>
        </w:r>
        <w:r>
          <w:rPr>
            <w:noProof/>
            <w:webHidden/>
          </w:rPr>
          <w:fldChar w:fldCharType="end"/>
        </w:r>
      </w:hyperlink>
    </w:p>
    <w:p w14:paraId="11B5ADB5" w14:textId="6C5689D2"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600" w:history="1">
        <w:r w:rsidRPr="005D03E2">
          <w:rPr>
            <w:rStyle w:val="Lienhypertexte"/>
            <w:noProof/>
          </w:rPr>
          <w:t>Tableau 10. Indicateurs de performances et de risque des styles pendant les années 2010</w:t>
        </w:r>
        <w:r>
          <w:rPr>
            <w:noProof/>
            <w:webHidden/>
          </w:rPr>
          <w:tab/>
        </w:r>
        <w:r>
          <w:rPr>
            <w:noProof/>
            <w:webHidden/>
          </w:rPr>
          <w:fldChar w:fldCharType="begin"/>
        </w:r>
        <w:r>
          <w:rPr>
            <w:noProof/>
            <w:webHidden/>
          </w:rPr>
          <w:instrText xml:space="preserve"> PAGEREF _Toc194078600 \h </w:instrText>
        </w:r>
        <w:r>
          <w:rPr>
            <w:noProof/>
            <w:webHidden/>
          </w:rPr>
        </w:r>
        <w:r>
          <w:rPr>
            <w:noProof/>
            <w:webHidden/>
          </w:rPr>
          <w:fldChar w:fldCharType="separate"/>
        </w:r>
        <w:r w:rsidR="004D7D3B">
          <w:rPr>
            <w:noProof/>
            <w:webHidden/>
          </w:rPr>
          <w:t>18</w:t>
        </w:r>
        <w:r>
          <w:rPr>
            <w:noProof/>
            <w:webHidden/>
          </w:rPr>
          <w:fldChar w:fldCharType="end"/>
        </w:r>
      </w:hyperlink>
    </w:p>
    <w:p w14:paraId="01D5A916" w14:textId="3C761062"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601" w:history="1">
        <w:r w:rsidRPr="005D03E2">
          <w:rPr>
            <w:rStyle w:val="Lienhypertexte"/>
            <w:noProof/>
          </w:rPr>
          <w:t>Tableau 11. Indicateurs de performances et de risque des styles pendant la pandémie de COVID-19</w:t>
        </w:r>
        <w:r>
          <w:rPr>
            <w:noProof/>
            <w:webHidden/>
          </w:rPr>
          <w:tab/>
        </w:r>
        <w:r>
          <w:rPr>
            <w:noProof/>
            <w:webHidden/>
          </w:rPr>
          <w:fldChar w:fldCharType="begin"/>
        </w:r>
        <w:r>
          <w:rPr>
            <w:noProof/>
            <w:webHidden/>
          </w:rPr>
          <w:instrText xml:space="preserve"> PAGEREF _Toc194078601 \h </w:instrText>
        </w:r>
        <w:r>
          <w:rPr>
            <w:noProof/>
            <w:webHidden/>
          </w:rPr>
        </w:r>
        <w:r>
          <w:rPr>
            <w:noProof/>
            <w:webHidden/>
          </w:rPr>
          <w:fldChar w:fldCharType="separate"/>
        </w:r>
        <w:r w:rsidR="004D7D3B">
          <w:rPr>
            <w:noProof/>
            <w:webHidden/>
          </w:rPr>
          <w:t>19</w:t>
        </w:r>
        <w:r>
          <w:rPr>
            <w:noProof/>
            <w:webHidden/>
          </w:rPr>
          <w:fldChar w:fldCharType="end"/>
        </w:r>
      </w:hyperlink>
    </w:p>
    <w:p w14:paraId="7CC46A89" w14:textId="1BBDC3D2"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602" w:history="1">
        <w:r w:rsidRPr="005D03E2">
          <w:rPr>
            <w:rStyle w:val="Lienhypertexte"/>
            <w:noProof/>
          </w:rPr>
          <w:t>Tableau 12. Indicateurs de performances et de risque des styles pendant l’ère post-COVID 19</w:t>
        </w:r>
        <w:r>
          <w:rPr>
            <w:noProof/>
            <w:webHidden/>
          </w:rPr>
          <w:tab/>
        </w:r>
        <w:r>
          <w:rPr>
            <w:noProof/>
            <w:webHidden/>
          </w:rPr>
          <w:fldChar w:fldCharType="begin"/>
        </w:r>
        <w:r>
          <w:rPr>
            <w:noProof/>
            <w:webHidden/>
          </w:rPr>
          <w:instrText xml:space="preserve"> PAGEREF _Toc194078602 \h </w:instrText>
        </w:r>
        <w:r>
          <w:rPr>
            <w:noProof/>
            <w:webHidden/>
          </w:rPr>
        </w:r>
        <w:r>
          <w:rPr>
            <w:noProof/>
            <w:webHidden/>
          </w:rPr>
          <w:fldChar w:fldCharType="separate"/>
        </w:r>
        <w:r w:rsidR="004D7D3B">
          <w:rPr>
            <w:noProof/>
            <w:webHidden/>
          </w:rPr>
          <w:t>20</w:t>
        </w:r>
        <w:r>
          <w:rPr>
            <w:noProof/>
            <w:webHidden/>
          </w:rPr>
          <w:fldChar w:fldCharType="end"/>
        </w:r>
      </w:hyperlink>
    </w:p>
    <w:p w14:paraId="2F1A740F" w14:textId="1637F6CC" w:rsidR="00DB48E0" w:rsidRDefault="00A27748" w:rsidP="00A27748">
      <w:pPr>
        <w:pBdr>
          <w:top w:val="nil"/>
          <w:left w:val="nil"/>
          <w:bottom w:val="nil"/>
          <w:right w:val="nil"/>
          <w:between w:val="nil"/>
        </w:pBdr>
        <w:tabs>
          <w:tab w:val="right" w:pos="8777"/>
        </w:tabs>
        <w:spacing w:after="0"/>
      </w:pPr>
      <w:r>
        <w:fldChar w:fldCharType="end"/>
      </w:r>
    </w:p>
    <w:p w14:paraId="24E32071" w14:textId="77777777" w:rsidR="00DB48E0" w:rsidRDefault="00000000">
      <w:pPr>
        <w:spacing w:before="0" w:after="200" w:line="276" w:lineRule="auto"/>
        <w:jc w:val="left"/>
      </w:pPr>
      <w:r>
        <w:br w:type="page"/>
      </w:r>
    </w:p>
    <w:p w14:paraId="38606359" w14:textId="77777777" w:rsidR="00DB48E0" w:rsidRDefault="00000000">
      <w:r>
        <w:lastRenderedPageBreak/>
        <w:t>LISTE DES FIGURES</w:t>
      </w:r>
    </w:p>
    <w:p w14:paraId="3A7138AA" w14:textId="6A8F1CB4"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"Figure" </w:instrText>
      </w:r>
      <w:r>
        <w:fldChar w:fldCharType="separate"/>
      </w:r>
      <w:hyperlink w:anchor="_Toc194078603" w:history="1">
        <w:r w:rsidRPr="00871D01">
          <w:rPr>
            <w:rStyle w:val="Lienhypertexte"/>
            <w:noProof/>
          </w:rPr>
          <w:t>Figure 1. Evolution en base 100 des styles d’investissement sur le marché européen de 1999 à 2024</w:t>
        </w:r>
        <w:r>
          <w:rPr>
            <w:noProof/>
            <w:webHidden/>
          </w:rPr>
          <w:tab/>
        </w:r>
        <w:r>
          <w:rPr>
            <w:noProof/>
            <w:webHidden/>
          </w:rPr>
          <w:fldChar w:fldCharType="begin"/>
        </w:r>
        <w:r>
          <w:rPr>
            <w:noProof/>
            <w:webHidden/>
          </w:rPr>
          <w:instrText xml:space="preserve"> PAGEREF _Toc194078603 \h </w:instrText>
        </w:r>
        <w:r>
          <w:rPr>
            <w:noProof/>
            <w:webHidden/>
          </w:rPr>
        </w:r>
        <w:r>
          <w:rPr>
            <w:noProof/>
            <w:webHidden/>
          </w:rPr>
          <w:fldChar w:fldCharType="separate"/>
        </w:r>
        <w:r w:rsidR="004D7D3B">
          <w:rPr>
            <w:noProof/>
            <w:webHidden/>
          </w:rPr>
          <w:t>10</w:t>
        </w:r>
        <w:r>
          <w:rPr>
            <w:noProof/>
            <w:webHidden/>
          </w:rPr>
          <w:fldChar w:fldCharType="end"/>
        </w:r>
      </w:hyperlink>
    </w:p>
    <w:p w14:paraId="24979EDC" w14:textId="1B9441D2" w:rsidR="00A27748" w:rsidRDefault="00A27748">
      <w:pPr>
        <w:pStyle w:val="Tabledesillustrations"/>
        <w:tabs>
          <w:tab w:val="right" w:leader="dot" w:pos="9061"/>
        </w:tabs>
        <w:rPr>
          <w:rFonts w:asciiTheme="minorHAnsi" w:eastAsiaTheme="minorEastAsia" w:hAnsiTheme="minorHAnsi" w:cstheme="minorBidi"/>
          <w:noProof/>
          <w:kern w:val="2"/>
          <w:sz w:val="24"/>
          <w:szCs w:val="24"/>
          <w14:ligatures w14:val="standardContextual"/>
        </w:rPr>
      </w:pPr>
      <w:hyperlink w:anchor="_Toc194078604" w:history="1">
        <w:r w:rsidRPr="00871D01">
          <w:rPr>
            <w:rStyle w:val="Lienhypertexte"/>
            <w:noProof/>
          </w:rPr>
          <w:t>Figure 2. Matrice de corrélation entre les styles d’investissement</w:t>
        </w:r>
        <w:r>
          <w:rPr>
            <w:noProof/>
            <w:webHidden/>
          </w:rPr>
          <w:tab/>
        </w:r>
        <w:r>
          <w:rPr>
            <w:noProof/>
            <w:webHidden/>
          </w:rPr>
          <w:fldChar w:fldCharType="begin"/>
        </w:r>
        <w:r>
          <w:rPr>
            <w:noProof/>
            <w:webHidden/>
          </w:rPr>
          <w:instrText xml:space="preserve"> PAGEREF _Toc194078604 \h </w:instrText>
        </w:r>
        <w:r>
          <w:rPr>
            <w:noProof/>
            <w:webHidden/>
          </w:rPr>
        </w:r>
        <w:r>
          <w:rPr>
            <w:noProof/>
            <w:webHidden/>
          </w:rPr>
          <w:fldChar w:fldCharType="separate"/>
        </w:r>
        <w:r w:rsidR="004D7D3B">
          <w:rPr>
            <w:noProof/>
            <w:webHidden/>
          </w:rPr>
          <w:t>10</w:t>
        </w:r>
        <w:r>
          <w:rPr>
            <w:noProof/>
            <w:webHidden/>
          </w:rPr>
          <w:fldChar w:fldCharType="end"/>
        </w:r>
      </w:hyperlink>
    </w:p>
    <w:p w14:paraId="71DE390C" w14:textId="67B6343D" w:rsidR="00DB48E0" w:rsidRDefault="00A27748" w:rsidP="00A27748">
      <w:pPr>
        <w:pBdr>
          <w:top w:val="nil"/>
          <w:left w:val="nil"/>
          <w:bottom w:val="nil"/>
          <w:right w:val="nil"/>
          <w:between w:val="nil"/>
        </w:pBdr>
        <w:tabs>
          <w:tab w:val="right" w:pos="8777"/>
        </w:tabs>
        <w:spacing w:after="0"/>
      </w:pPr>
      <w:r>
        <w:fldChar w:fldCharType="end"/>
      </w:r>
    </w:p>
    <w:p w14:paraId="753F6B88" w14:textId="77777777" w:rsidR="00DB48E0" w:rsidRDefault="00000000">
      <w:pPr>
        <w:spacing w:before="0" w:after="200" w:line="276" w:lineRule="auto"/>
        <w:jc w:val="left"/>
      </w:pPr>
      <w:r>
        <w:br w:type="page"/>
      </w:r>
    </w:p>
    <w:p w14:paraId="1D0D2915" w14:textId="77777777" w:rsidR="00DB48E0" w:rsidRDefault="00000000">
      <w:pPr>
        <w:sectPr w:rsidR="00DB48E0" w:rsidSect="00F12F6E">
          <w:headerReference w:type="default" r:id="rId10"/>
          <w:footerReference w:type="default" r:id="rId11"/>
          <w:pgSz w:w="11907" w:h="16839"/>
          <w:pgMar w:top="1418" w:right="1418" w:bottom="1418" w:left="1418" w:header="709" w:footer="709" w:gutter="0"/>
          <w:pgNumType w:fmt="upperRoman" w:start="1"/>
          <w:cols w:space="720"/>
        </w:sectPr>
      </w:pPr>
      <w:bookmarkStart w:id="0" w:name="_heading=h.bnrsgo27kckd" w:colFirst="0" w:colLast="0"/>
      <w:bookmarkEnd w:id="0"/>
      <w:r>
        <w:lastRenderedPageBreak/>
        <w:t>Cette page est intentionnellement laissée blanche. </w:t>
      </w:r>
    </w:p>
    <w:p w14:paraId="1CEDDB08" w14:textId="77777777" w:rsidR="00DB48E0" w:rsidRDefault="00000000">
      <w:pPr>
        <w:pStyle w:val="Titre1"/>
      </w:pPr>
      <w:bookmarkStart w:id="1" w:name="_Toc194078558"/>
      <w:r>
        <w:lastRenderedPageBreak/>
        <w:t>Introduction et revue de la littérature</w:t>
      </w:r>
      <w:bookmarkEnd w:id="1"/>
    </w:p>
    <w:p w14:paraId="6BF8718F" w14:textId="77777777" w:rsidR="00DB48E0" w:rsidRDefault="00000000">
      <w:r>
        <w:t xml:space="preserve">L’étude des stratégies d’investissement constitue un sujet central de la finance moderne. Depuis la formalisation des théories de portefeuille par </w:t>
      </w:r>
      <w:proofErr w:type="spellStart"/>
      <w:r>
        <w:t>Markowitz</w:t>
      </w:r>
      <w:proofErr w:type="spellEnd"/>
      <w:r>
        <w:t xml:space="preserve"> dans les années 1950, les investisseurs ont cherché à optimiser leurs décisions en fonction de critères de risque et de rendement. La considération de facteurs est apparue comme une approche efficace dans cette optique. Un facteur peut être considéré comme une caractéristique relative à un groupe de titres qui est importante pour expliquer leur rendement et leur risque. Cependant, les stratégies d’investissement ont considérablement évolué au fil des décennies, s’adaptant aux changements structurels des marchés financiers, aux avancées technologiques et aux crises économiques. Depuis 1998, le marché européen a été marqué par des périodes de turbulences économiques, telles que la bulle Internet, la crise financière de 2008, la crise de la dette souveraine européenne, et plus récemment, la pandémie de COVID-19 et la guerre russo-ukrainienne. Ces événements ont influencé les comportements des investisseurs et les stratégies qu’ils adoptent, rendant essentielle une analyse approfondie de leur évolution. </w:t>
      </w:r>
    </w:p>
    <w:p w14:paraId="352968DF" w14:textId="77777777" w:rsidR="00DB48E0" w:rsidRDefault="00000000">
      <w:r>
        <w:t>Comprendre comment les stratégies d'investissement ont évolué depuis 1999 est crucial pour saisir comment les investisseurs ont réagi à ces chocs économiques et comment les approches traditionnelles ont performé. Cette étude se concentre sur le marché européen, un espace économique complexe et diversifié, où les stratégies doivent tenir compte des spécificités régionales, des différences réglementaires et des variations de liquidité et de profondeur des marchés financiers entre les pays. A noter que l’année de base de 1999 correspond à une avancée majeure qu’est la création de l’Union Economique et Monétaire, c’est-à-dire la naissance de la zone Euro regroupant 11 Etats. En examinant différentes périodes économiques, des phases de croissance plus ou moins stables aux crises sévères, il est possible d’identifier les stratégies qui ont résisté à l'épreuve du temps et celles qui ont émergé en réponse à de nouveaux paradigmes économiques et financiers.</w:t>
      </w:r>
    </w:p>
    <w:p w14:paraId="10A8F879" w14:textId="77777777" w:rsidR="00DB48E0" w:rsidRDefault="00000000">
      <w:r>
        <w:t>La question de ce qui détermine les rendements des actions dans la littérature remonte à la moitié du XXème siècle. Le modèle le plus ancien et le plus connu est le Capital Asset Pricing Model (CAPM), qui est devenu une pierre angulaire de la théorie financière dans les années 1960 (</w:t>
      </w:r>
      <w:proofErr w:type="spellStart"/>
      <w:r>
        <w:t>Treynor</w:t>
      </w:r>
      <w:proofErr w:type="spellEnd"/>
      <w:r>
        <w:t xml:space="preserve">, </w:t>
      </w:r>
      <w:proofErr w:type="gramStart"/>
      <w:r>
        <w:t>1961;</w:t>
      </w:r>
      <w:proofErr w:type="gramEnd"/>
      <w:r>
        <w:t xml:space="preserve"> Sharpe, 1964; </w:t>
      </w:r>
      <w:proofErr w:type="spellStart"/>
      <w:r>
        <w:t>Lintner</w:t>
      </w:r>
      <w:proofErr w:type="spellEnd"/>
      <w:r>
        <w:t xml:space="preserve">, 1965 ; </w:t>
      </w:r>
      <w:proofErr w:type="spellStart"/>
      <w:r>
        <w:t>Mossin</w:t>
      </w:r>
      <w:proofErr w:type="spellEnd"/>
      <w:r>
        <w:t>, 1966). Dans le CAPM, les titres ont deux principaux facteurs de rendement : le risque systématique et le risque idiosyncratique. Le risque systématique, capturé par le bêta, représente la sensibilité du rendement d’un titre au marché. Comme ce risque ne peut être diversifié, les investisseurs sont compensés par des rendements pour le supporter. Plus tard, Ross (1976) a proposé une théorie alternative, l’Arbitrage Pricing Theory (APT), selon laquelle le rendement attendu d’un actif financier peut être modélisé comme une fonction de plusieurs facteurs macroéconomiques ou d’indices de marché théoriques. Contrairement au CAPM, l’APT ne spécifie pas explicitement quels facteurs doivent être utilisés, laissant cette question ouverte à l’investigation empirique.</w:t>
      </w:r>
    </w:p>
    <w:p w14:paraId="3D50FC0B" w14:textId="77777777" w:rsidR="00DB48E0" w:rsidRDefault="00000000">
      <w:r>
        <w:t xml:space="preserve">Les facteurs fondamentaux les plus utilisés aujourd’hui, capturent des caractéristiques spécifiques aux actions, telles que les ratios de valorisation, la taille de l’entreprise ou les indicateurs techniques. Les </w:t>
      </w:r>
      <w:r>
        <w:lastRenderedPageBreak/>
        <w:t xml:space="preserve">facteurs les plus populaires, comme la value, la croissance, la taille et le </w:t>
      </w:r>
      <w:proofErr w:type="spellStart"/>
      <w:r>
        <w:t>momentum</w:t>
      </w:r>
      <w:proofErr w:type="spellEnd"/>
      <w:r>
        <w:t>, ont été largement étudiés dans la littérature académique et par les praticiens.</w:t>
      </w:r>
    </w:p>
    <w:p w14:paraId="66E213C7" w14:textId="77777777" w:rsidR="00DB48E0" w:rsidRDefault="00000000">
      <w:r>
        <w:t>Le modèle de Fama et French (1992 ; 1993) a marqué un tournant dans l’étude des facteurs. En ajoutant au CAPM un facteur de taille (petites vs grandes capitalisations) et un facteur de valeur (faible vs fort ratio book-to-</w:t>
      </w:r>
      <w:proofErr w:type="spellStart"/>
      <w:r>
        <w:t>market</w:t>
      </w:r>
      <w:proofErr w:type="spellEnd"/>
      <w:r>
        <w:t xml:space="preserve">), ils ont fourni une explication plus robuste des rendements boursiers. Ce modèle, enrichi plus tard par </w:t>
      </w:r>
      <w:proofErr w:type="spellStart"/>
      <w:r>
        <w:t>Carhart</w:t>
      </w:r>
      <w:proofErr w:type="spellEnd"/>
      <w:r>
        <w:t xml:space="preserve"> (1997) avec le facteur de </w:t>
      </w:r>
      <w:proofErr w:type="spellStart"/>
      <w:r>
        <w:t>momentum</w:t>
      </w:r>
      <w:proofErr w:type="spellEnd"/>
      <w:r>
        <w:t>, est devenu une référence dans la littérature financière. Depuis, de nombreux autres facteurs ont été explorés, allant des mesures comptables (comme les révisions de bénéfices) aux indicateurs techniques (comme la volatilité ou la force relative). Plus récemment, des recherches ont même examiné des facteurs non traditionnels, comme le nombre de recherches Google pour une action ou sa couverture médiatique.</w:t>
      </w:r>
    </w:p>
    <w:p w14:paraId="0A1D94B6" w14:textId="77777777" w:rsidR="00DB48E0" w:rsidRDefault="00000000">
      <w:r>
        <w:t xml:space="preserve">Dans ce contexte, la littérature sur les stratégies d’investissement s’est considérablement enrichie. Les travaux de Fama et French (1998 ; </w:t>
      </w:r>
      <w:proofErr w:type="gramStart"/>
      <w:r>
        <w:t>2006)ont</w:t>
      </w:r>
      <w:proofErr w:type="gramEnd"/>
      <w:r>
        <w:t xml:space="preserve"> montré que les actions value surperforment les actions </w:t>
      </w:r>
      <w:proofErr w:type="spellStart"/>
      <w:r>
        <w:t>growth</w:t>
      </w:r>
      <w:proofErr w:type="spellEnd"/>
      <w:r>
        <w:t xml:space="preserve"> sur le long terme, un phénomène connu sous le nom de value premium. Cependant, Chan et </w:t>
      </w:r>
      <w:proofErr w:type="spellStart"/>
      <w:r>
        <w:t>Lakonishok</w:t>
      </w:r>
      <w:proofErr w:type="spellEnd"/>
      <w:r>
        <w:t xml:space="preserve"> (2004) soulignent que cette surperformance n’est pas linéaire et peut varier en fonction des cycles économiques. Par exemple, pendant la phase ascendante bulle Internet, les actions </w:t>
      </w:r>
      <w:proofErr w:type="spellStart"/>
      <w:r>
        <w:t>growth</w:t>
      </w:r>
      <w:proofErr w:type="spellEnd"/>
      <w:r>
        <w:t xml:space="preserve"> ont largement surpassé les actions value, remettant en question la robustesse de cette stratégie.</w:t>
      </w:r>
    </w:p>
    <w:p w14:paraId="2BDEAE4F" w14:textId="77777777" w:rsidR="00DB48E0" w:rsidRDefault="00000000">
      <w:r>
        <w:t xml:space="preserve">Les travaux de </w:t>
      </w:r>
      <w:proofErr w:type="spellStart"/>
      <w:r>
        <w:t>Barberis</w:t>
      </w:r>
      <w:proofErr w:type="spellEnd"/>
      <w:r>
        <w:t xml:space="preserve"> et </w:t>
      </w:r>
      <w:proofErr w:type="spellStart"/>
      <w:r>
        <w:t>Shleifer</w:t>
      </w:r>
      <w:proofErr w:type="spellEnd"/>
      <w:r>
        <w:t xml:space="preserve"> (2003) sur les styles d’investissement ont montré que les investisseurs ont tendance à regrouper les actifs en catégories stylistiques (comme value vs </w:t>
      </w:r>
      <w:proofErr w:type="spellStart"/>
      <w:r>
        <w:t>growth</w:t>
      </w:r>
      <w:proofErr w:type="spellEnd"/>
      <w:r>
        <w:t>) et à déplacer leurs fonds en fonction de la performance relative de ces styles. Ce comportement peut créer des distorsions de prix et des opportunités d’arbitrage, en particulier lorsque les flux de capitaux sont importants. Par exemple, les industries fortement achetées par les investisseurs individuels ont tendance à sous-performer à court terme, ce qui suggère un comportement grégaire.</w:t>
      </w:r>
    </w:p>
    <w:p w14:paraId="18D1DC47" w14:textId="77777777" w:rsidR="00DB48E0" w:rsidRDefault="00000000">
      <w:r>
        <w:t xml:space="preserve">Les stratégies basées sur la qualité des entreprises et la faible volatilité ont gagné en popularité après la crise de 2008. Les recherches de </w:t>
      </w:r>
      <w:proofErr w:type="spellStart"/>
      <w:r>
        <w:t>Bessler</w:t>
      </w:r>
      <w:proofErr w:type="spellEnd"/>
      <w:r>
        <w:t xml:space="preserve"> et al. (2021) montrent que ces stratégies offrent une meilleure protection lors des périodes de turbulence, tout en générant des rendements attractifs sur le long terme. Par exemple, les actions à faible volatilité ont tendance à surperformer lors des phases de marché baissier, ce qui en fait un outil de gestion du risque précieux.</w:t>
      </w:r>
    </w:p>
    <w:p w14:paraId="45FC3F86" w14:textId="77777777" w:rsidR="00DB48E0" w:rsidRDefault="00000000">
      <w:r>
        <w:t xml:space="preserve">Enfin, la liquidité a été introduite comme un style d’investissement distinct par </w:t>
      </w:r>
      <w:proofErr w:type="spellStart"/>
      <w:r>
        <w:t>Ibbotson</w:t>
      </w:r>
      <w:proofErr w:type="spellEnd"/>
      <w:r>
        <w:t xml:space="preserve"> et al (2013). Leurs travaux montrent que les actions peu liquides surperforment les actions très liquides à long terme, une surperformance attribuée à une prime de risque liée à la difficulté de négocier ces actifs. Cependant, cette stratégie nécessite une gestion active des coûts de transaction, ce qui peut limiter son attractivité pour certains investisseurs.</w:t>
      </w:r>
    </w:p>
    <w:p w14:paraId="791DC634" w14:textId="77777777" w:rsidR="00DB48E0" w:rsidRDefault="00000000">
      <w:r>
        <w:t xml:space="preserve">Les travaux de </w:t>
      </w:r>
      <w:proofErr w:type="spellStart"/>
      <w:r>
        <w:t>Froot</w:t>
      </w:r>
      <w:proofErr w:type="spellEnd"/>
      <w:r>
        <w:t xml:space="preserve"> et </w:t>
      </w:r>
      <w:proofErr w:type="spellStart"/>
      <w:r>
        <w:t>Teo</w:t>
      </w:r>
      <w:proofErr w:type="spellEnd"/>
      <w:r>
        <w:t xml:space="preserve"> (2008) et de Wahal et </w:t>
      </w:r>
      <w:proofErr w:type="spellStart"/>
      <w:r>
        <w:t>Yavuz</w:t>
      </w:r>
      <w:proofErr w:type="spellEnd"/>
      <w:r>
        <w:t xml:space="preserve"> (2013) explorent comment les investisseurs institutionnels influencent les prix des actifs à travers le « style </w:t>
      </w:r>
      <w:proofErr w:type="spellStart"/>
      <w:r>
        <w:t>investing</w:t>
      </w:r>
      <w:proofErr w:type="spellEnd"/>
      <w:r>
        <w:t xml:space="preserve"> ». Ils montrent que les flux de capitaux entre styles (par exemple, de value vers </w:t>
      </w:r>
      <w:proofErr w:type="spellStart"/>
      <w:r>
        <w:t>growth</w:t>
      </w:r>
      <w:proofErr w:type="spellEnd"/>
      <w:r>
        <w:t xml:space="preserve">) peuvent créer des distorsions de prix et des opportunités d’arbitrage. </w:t>
      </w:r>
    </w:p>
    <w:p w14:paraId="0649A085" w14:textId="77777777" w:rsidR="00DB48E0" w:rsidRDefault="00000000">
      <w:r>
        <w:lastRenderedPageBreak/>
        <w:t xml:space="preserve">La littérature sur les stratégies d’investissement ne se limite pas aux facteurs traditionnels. Par exemple, </w:t>
      </w:r>
      <w:proofErr w:type="spellStart"/>
      <w:r>
        <w:t>Piotroski</w:t>
      </w:r>
      <w:proofErr w:type="spellEnd"/>
      <w:r>
        <w:t xml:space="preserve"> (2000) a montré que l’utilisation d’indicateurs financiers historiques peut améliorer les rendements des stratégies de value </w:t>
      </w:r>
      <w:proofErr w:type="spellStart"/>
      <w:r>
        <w:t>investing</w:t>
      </w:r>
      <w:proofErr w:type="spellEnd"/>
      <w:r>
        <w:t xml:space="preserve">. En utilisant un score basé sur neuf signaux financiers, </w:t>
      </w:r>
      <w:proofErr w:type="spellStart"/>
      <w:r>
        <w:t>Piotroski</w:t>
      </w:r>
      <w:proofErr w:type="spellEnd"/>
      <w:r>
        <w:t xml:space="preserve"> a démontré que les entreprises avec un score élevé surperforment significativement celles avec un score faible. Cette approche met en lumière l’importance de l’analyse fondamentale dans la sélection des actions, en particulier pour les petites capitalisations et les entreprises peu suivies par les analystes.</w:t>
      </w:r>
    </w:p>
    <w:p w14:paraId="519FC9E2" w14:textId="77777777" w:rsidR="00DB48E0" w:rsidRDefault="00000000">
      <w:r>
        <w:t xml:space="preserve">De même, Griffin et </w:t>
      </w:r>
      <w:proofErr w:type="spellStart"/>
      <w:r>
        <w:t>Lemmon</w:t>
      </w:r>
      <w:proofErr w:type="spellEnd"/>
      <w:r>
        <w:t xml:space="preserve"> (2002) ont exploré la relation entre le ratio book-to-</w:t>
      </w:r>
      <w:proofErr w:type="spellStart"/>
      <w:r>
        <w:t>market</w:t>
      </w:r>
      <w:proofErr w:type="spellEnd"/>
      <w:r>
        <w:t>, le risque de détresse financière et les rendements boursiers. Leurs résultats montrent que les actions avec un ratio book-to-</w:t>
      </w:r>
      <w:proofErr w:type="spellStart"/>
      <w:r>
        <w:t>market</w:t>
      </w:r>
      <w:proofErr w:type="spellEnd"/>
      <w:r>
        <w:t xml:space="preserve"> élevé et un risque de détresse élevé ont des rendements plus élevés que celles avec un faible ratio book-to-</w:t>
      </w:r>
      <w:proofErr w:type="spellStart"/>
      <w:r>
        <w:t>market</w:t>
      </w:r>
      <w:proofErr w:type="spellEnd"/>
      <w:r>
        <w:t>. Cela suggère que la prime de valeur pourrait être en partie expliquée par le risque de détresse, bien que d’autres études, comme celles de Fama et French (2006), contestent cette interprétation en montrant que la prime de valeur persiste même après ajustement pour le risque.</w:t>
      </w:r>
    </w:p>
    <w:p w14:paraId="7A10CC73" w14:textId="77777777" w:rsidR="00DB48E0" w:rsidRDefault="00000000">
      <w:r>
        <w:t xml:space="preserve">Les stratégies de </w:t>
      </w:r>
      <w:proofErr w:type="spellStart"/>
      <w:r>
        <w:t>momentum</w:t>
      </w:r>
      <w:proofErr w:type="spellEnd"/>
      <w:r>
        <w:t xml:space="preserve"> ont également été largement étudiées. Le </w:t>
      </w:r>
      <w:proofErr w:type="spellStart"/>
      <w:r>
        <w:t>momentum</w:t>
      </w:r>
      <w:proofErr w:type="spellEnd"/>
      <w:r>
        <w:t xml:space="preserve">, une stratégie qui consiste à acheter des actions ayant performé récemment et à vendre celles ayant sous-performé. </w:t>
      </w:r>
      <w:proofErr w:type="spellStart"/>
      <w:r>
        <w:t>Jegadeesh</w:t>
      </w:r>
      <w:proofErr w:type="spellEnd"/>
      <w:r>
        <w:t xml:space="preserve"> et </w:t>
      </w:r>
      <w:proofErr w:type="spellStart"/>
      <w:r>
        <w:t>Titman</w:t>
      </w:r>
      <w:proofErr w:type="spellEnd"/>
      <w:r>
        <w:t xml:space="preserve"> (1993) ont montré que cette stratégie génère des rendements persistants dans plusieurs marchés, y compris en </w:t>
      </w:r>
      <w:proofErr w:type="gramStart"/>
      <w:r>
        <w:t>Europe..</w:t>
      </w:r>
      <w:proofErr w:type="gramEnd"/>
      <w:r>
        <w:t xml:space="preserve"> Chou et al. (2019) ont examiné comment la croissance des actifs (Asset </w:t>
      </w:r>
      <w:proofErr w:type="spellStart"/>
      <w:r>
        <w:t>Growth</w:t>
      </w:r>
      <w:proofErr w:type="spellEnd"/>
      <w:r>
        <w:t xml:space="preserve">) influence les stratégies de </w:t>
      </w:r>
      <w:proofErr w:type="spellStart"/>
      <w:r>
        <w:t>momentum</w:t>
      </w:r>
      <w:proofErr w:type="spellEnd"/>
      <w:r>
        <w:t xml:space="preserve">. Leurs résultats montrent que les entreprises avec une faible croissance des actifs ont tendance à surperformer, ce qui suggère que la croissance des actifs peut être utilisée comme un facteur supplémentaire dans les stratégies de </w:t>
      </w:r>
      <w:proofErr w:type="spellStart"/>
      <w:r>
        <w:t>momentum</w:t>
      </w:r>
      <w:proofErr w:type="spellEnd"/>
      <w:r>
        <w:t xml:space="preserve">. Cette étude met en lumière l’importance de considérer des facteurs multiples dans la construction de portefeuilles, une approche qui est devenue de plus en plus populaire avec l’essor du factor </w:t>
      </w:r>
      <w:proofErr w:type="spellStart"/>
      <w:r>
        <w:t>investing</w:t>
      </w:r>
      <w:proofErr w:type="spellEnd"/>
      <w:r>
        <w:t xml:space="preserve">. </w:t>
      </w:r>
    </w:p>
    <w:p w14:paraId="71804073" w14:textId="77777777" w:rsidR="00DB48E0" w:rsidRDefault="00000000">
      <w:r>
        <w:t>Compte tenu des constats et de la revue de la littérature préalables et avec une volonté d’allier recherche scientifique et application pratique dans le cas de la gestion d’actions européenne, la problématique centrale de cette recherche est la suivante : Comment les stratégies d’investissement ont-elles évolué depuis 1998 sur le marché européen ? Cette question est pertinente pour plusieurs raisons. Premièrement, elle permet de comprendre comment les investisseurs ont adapté leurs stratégies face aux chocs économiques et aux changements structurels des marchés. Deuxièmement, elle offre des éclairages sur la robustesse réelle des stratégies d’investissement. Enfin, elle contribue à éclairer les décisions d’investissement futures en identifiant les stratégies les plus adaptées à différents contextes économiques.</w:t>
      </w:r>
    </w:p>
    <w:p w14:paraId="60357289" w14:textId="77777777" w:rsidR="00DB48E0" w:rsidRDefault="00000000">
      <w:r>
        <w:t xml:space="preserve">Les objectifs de cette recherche sont multiples et visent à apporter une compréhension approfondie de l’évolution des stratégies d’investissement sur le marché européen depuis 1998. Premièrement, il s’agit d’analyser comment ces stratégies ont évolué au fil du temps, en distinguant les périodes de crise économique et les phases de stabilité. En examinant ces différentes périodes, nous chercherons à identifier les stratégies qui ont résisté aux chocs économiques et celles qui ont émergé ou se sont transformées en réponse à ces défis. Deuxièmement, cette recherche vise à évaluer la performance relative des différentes stratégies d’investissement dans le contexte spécifique du marché européen. Cette approche centrée découle surtout de l’ambition d’apporter des éclairages pratiques pour les praticiens orientés sur cette géographie. Enfin, cette recherche vise à contribuer à la littérature existante en fournissant une analyse </w:t>
      </w:r>
      <w:r>
        <w:lastRenderedPageBreak/>
        <w:t>approfondie et actualisée des stratégies d’investissement sur le marché européen, en intégrant les enseignements des articles académiques cités. En combinant une approche théorique et empirique, cette étude ambitionne de fournir des retours utiles pour les investisseurs institutionnels et individuels, tout en enrichissant le débat académique sur les stratégies d’investissement.</w:t>
      </w:r>
    </w:p>
    <w:p w14:paraId="7D77EE39" w14:textId="77777777" w:rsidR="00DB48E0" w:rsidRDefault="00000000">
      <w:pPr>
        <w:pStyle w:val="Titre1"/>
      </w:pPr>
      <w:bookmarkStart w:id="2" w:name="_Toc194078559"/>
      <w:r>
        <w:t>Données et méthodologie</w:t>
      </w:r>
      <w:bookmarkEnd w:id="2"/>
    </w:p>
    <w:p w14:paraId="7CFAF597" w14:textId="77777777" w:rsidR="00DB48E0" w:rsidRDefault="00000000">
      <w:pPr>
        <w:pStyle w:val="Titre2"/>
        <w:ind w:left="576" w:hanging="576"/>
      </w:pPr>
      <w:bookmarkStart w:id="3" w:name="_Toc194078560"/>
      <w:r>
        <w:t>Présentation des données</w:t>
      </w:r>
      <w:bookmarkEnd w:id="3"/>
    </w:p>
    <w:p w14:paraId="42ACAFD8" w14:textId="77777777" w:rsidR="00DB48E0" w:rsidRDefault="00000000">
      <w:r>
        <w:t>Pour mener à bien notre étude, nous utilisons des indices représentatifs des styles d’investissement fournis par MSCI. Ces données sont disponibles sur une base mensuelle et couvrent une période allant du 31 décembre 1998 au 31 décembre 2024. L’indice représentatif du style "</w:t>
      </w:r>
      <w:proofErr w:type="spellStart"/>
      <w:r>
        <w:t>low</w:t>
      </w:r>
      <w:proofErr w:type="spellEnd"/>
      <w:r>
        <w:t xml:space="preserve"> vol" fait exception, car les données ne sont disponibles qu’à compter du 30 novembre 2001. La fréquence mensuelle est privilégiée pour trois raisons principales. Premièrement, cette fréquence permet d’obtenir un nombre suffisant de points de données compte tenu de l’étendue de la période étudiée. Deuxièmement, la fréquence mensuelle atténue les bruits inhérents aux données journalières ou hebdomadaires tout en intégrant toutes les informations nécessaires pour apprécier les évolutions réelles du marché sur une longue période. Enfin, étant donné que nous extrayons nos données de prix de </w:t>
      </w:r>
      <w:proofErr w:type="spellStart"/>
      <w:r>
        <w:t>Factset</w:t>
      </w:r>
      <w:proofErr w:type="spellEnd"/>
      <w:r>
        <w:t>, certains indices ne sont pas disponibles en fréquences journalières ou hebdomadaires. De fait, la considération des données mensuelles constitue la seule base commune pour les indices considérés dans l’étude.</w:t>
      </w:r>
    </w:p>
    <w:p w14:paraId="75E2D366" w14:textId="02CD0909" w:rsidR="00DB48E0" w:rsidRDefault="00A27748" w:rsidP="00A27748">
      <w:pPr>
        <w:pStyle w:val="Lgende"/>
        <w:rPr>
          <w:b w:val="0"/>
          <w:color w:val="000000"/>
        </w:rPr>
      </w:pPr>
      <w:bookmarkStart w:id="4" w:name="_Toc194078591"/>
      <w:r>
        <w:t xml:space="preserve">Tableau </w:t>
      </w:r>
      <w:fldSimple w:instr=" SEQ Tableau \* ARABIC ">
        <w:r w:rsidR="004D7D3B">
          <w:rPr>
            <w:noProof/>
          </w:rPr>
          <w:t>1</w:t>
        </w:r>
      </w:fldSimple>
      <w:r>
        <w:rPr>
          <w:color w:val="000000"/>
        </w:rPr>
        <w:t>. Les indices représentatifs des styles</w:t>
      </w:r>
      <w:bookmarkEnd w:id="4"/>
      <w:r>
        <w:rPr>
          <w:color w:val="000000"/>
        </w:rPr>
        <w:t xml:space="preserve"> </w:t>
      </w:r>
    </w:p>
    <w:tbl>
      <w:tblPr>
        <w:tblStyle w:val="a"/>
        <w:tblW w:w="5670"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3402"/>
        <w:gridCol w:w="2268"/>
      </w:tblGrid>
      <w:tr w:rsidR="00DB48E0" w14:paraId="7CC581C8" w14:textId="77777777">
        <w:trPr>
          <w:jc w:val="center"/>
        </w:trPr>
        <w:tc>
          <w:tcPr>
            <w:tcW w:w="3402" w:type="dxa"/>
            <w:tcBorders>
              <w:top w:val="single" w:sz="4" w:space="0" w:color="000000"/>
              <w:bottom w:val="single" w:sz="4" w:space="0" w:color="000000"/>
            </w:tcBorders>
          </w:tcPr>
          <w:p w14:paraId="19D4D968" w14:textId="77777777" w:rsidR="00DB48E0" w:rsidRDefault="00000000">
            <w:r>
              <w:t>Indices</w:t>
            </w:r>
          </w:p>
        </w:tc>
        <w:tc>
          <w:tcPr>
            <w:tcW w:w="2268" w:type="dxa"/>
            <w:tcBorders>
              <w:top w:val="single" w:sz="4" w:space="0" w:color="000000"/>
              <w:bottom w:val="single" w:sz="4" w:space="0" w:color="000000"/>
            </w:tcBorders>
          </w:tcPr>
          <w:p w14:paraId="15A52D3F" w14:textId="77777777" w:rsidR="00DB48E0" w:rsidRDefault="00000000">
            <w:r>
              <w:t>Style</w:t>
            </w:r>
          </w:p>
        </w:tc>
      </w:tr>
      <w:tr w:rsidR="00DB48E0" w14:paraId="0239B241" w14:textId="77777777">
        <w:trPr>
          <w:trHeight w:val="170"/>
          <w:jc w:val="center"/>
        </w:trPr>
        <w:tc>
          <w:tcPr>
            <w:tcW w:w="3402" w:type="dxa"/>
            <w:tcBorders>
              <w:top w:val="single" w:sz="4" w:space="0" w:color="000000"/>
            </w:tcBorders>
            <w:vAlign w:val="center"/>
          </w:tcPr>
          <w:p w14:paraId="4010C2D4" w14:textId="77777777" w:rsidR="00DB48E0" w:rsidRDefault="00000000">
            <w:r>
              <w:t>MSCI Europe</w:t>
            </w:r>
          </w:p>
        </w:tc>
        <w:tc>
          <w:tcPr>
            <w:tcW w:w="2268" w:type="dxa"/>
            <w:tcBorders>
              <w:top w:val="single" w:sz="4" w:space="0" w:color="000000"/>
            </w:tcBorders>
            <w:vAlign w:val="center"/>
          </w:tcPr>
          <w:p w14:paraId="5E0F0B84" w14:textId="77777777" w:rsidR="00DB48E0" w:rsidRDefault="00000000">
            <w:pPr>
              <w:rPr>
                <w:color w:val="000000"/>
              </w:rPr>
            </w:pPr>
            <w:r>
              <w:rPr>
                <w:color w:val="000000"/>
              </w:rPr>
              <w:t>Marché européen</w:t>
            </w:r>
          </w:p>
        </w:tc>
      </w:tr>
      <w:tr w:rsidR="00DB48E0" w14:paraId="72B20DE2" w14:textId="77777777">
        <w:trPr>
          <w:trHeight w:val="170"/>
          <w:jc w:val="center"/>
        </w:trPr>
        <w:tc>
          <w:tcPr>
            <w:tcW w:w="3402" w:type="dxa"/>
            <w:vAlign w:val="center"/>
          </w:tcPr>
          <w:p w14:paraId="7A781F48" w14:textId="77777777" w:rsidR="00DB48E0" w:rsidRDefault="00000000">
            <w:pPr>
              <w:spacing w:before="0"/>
            </w:pPr>
            <w:r>
              <w:t>MSCI Europe Large Cap</w:t>
            </w:r>
          </w:p>
        </w:tc>
        <w:tc>
          <w:tcPr>
            <w:tcW w:w="2268" w:type="dxa"/>
            <w:vAlign w:val="center"/>
          </w:tcPr>
          <w:p w14:paraId="6D550BC9" w14:textId="77777777" w:rsidR="00DB48E0" w:rsidRDefault="00000000">
            <w:pPr>
              <w:spacing w:before="0"/>
              <w:rPr>
                <w:color w:val="000000"/>
              </w:rPr>
            </w:pPr>
            <w:r>
              <w:rPr>
                <w:color w:val="000000"/>
              </w:rPr>
              <w:t xml:space="preserve">Grande </w:t>
            </w:r>
            <w:proofErr w:type="spellStart"/>
            <w:r>
              <w:rPr>
                <w:color w:val="000000"/>
              </w:rPr>
              <w:t>capitalization</w:t>
            </w:r>
            <w:proofErr w:type="spellEnd"/>
          </w:p>
        </w:tc>
      </w:tr>
      <w:tr w:rsidR="00DB48E0" w14:paraId="6F8C5845" w14:textId="77777777">
        <w:trPr>
          <w:trHeight w:val="170"/>
          <w:jc w:val="center"/>
        </w:trPr>
        <w:tc>
          <w:tcPr>
            <w:tcW w:w="3402" w:type="dxa"/>
            <w:vAlign w:val="center"/>
          </w:tcPr>
          <w:p w14:paraId="33CB9EA6" w14:textId="77777777" w:rsidR="00DB48E0" w:rsidRDefault="00000000">
            <w:pPr>
              <w:spacing w:before="0"/>
            </w:pPr>
            <w:r>
              <w:t>MSCI Europe Small Cap</w:t>
            </w:r>
          </w:p>
        </w:tc>
        <w:tc>
          <w:tcPr>
            <w:tcW w:w="2268" w:type="dxa"/>
            <w:vAlign w:val="center"/>
          </w:tcPr>
          <w:p w14:paraId="25921069" w14:textId="77777777" w:rsidR="00DB48E0" w:rsidRDefault="00000000">
            <w:pPr>
              <w:spacing w:before="0"/>
              <w:rPr>
                <w:color w:val="000000"/>
              </w:rPr>
            </w:pPr>
            <w:r>
              <w:rPr>
                <w:color w:val="000000"/>
              </w:rPr>
              <w:t>Petite Capitalisation</w:t>
            </w:r>
          </w:p>
        </w:tc>
      </w:tr>
      <w:tr w:rsidR="00DB48E0" w14:paraId="36C1A45D" w14:textId="77777777">
        <w:trPr>
          <w:trHeight w:val="170"/>
          <w:jc w:val="center"/>
        </w:trPr>
        <w:tc>
          <w:tcPr>
            <w:tcW w:w="3402" w:type="dxa"/>
            <w:vAlign w:val="center"/>
          </w:tcPr>
          <w:p w14:paraId="76233DE2" w14:textId="77777777" w:rsidR="00DB48E0" w:rsidRDefault="00000000">
            <w:pPr>
              <w:spacing w:before="0"/>
            </w:pPr>
            <w:r>
              <w:t xml:space="preserve">MSCI Europe </w:t>
            </w:r>
            <w:proofErr w:type="spellStart"/>
            <w:r>
              <w:t>Growth</w:t>
            </w:r>
            <w:proofErr w:type="spellEnd"/>
          </w:p>
        </w:tc>
        <w:tc>
          <w:tcPr>
            <w:tcW w:w="2268" w:type="dxa"/>
            <w:vAlign w:val="center"/>
          </w:tcPr>
          <w:p w14:paraId="4109F9D1" w14:textId="77777777" w:rsidR="00DB48E0" w:rsidRDefault="00000000">
            <w:pPr>
              <w:spacing w:before="0"/>
              <w:rPr>
                <w:color w:val="000000"/>
              </w:rPr>
            </w:pPr>
            <w:r>
              <w:rPr>
                <w:color w:val="000000"/>
              </w:rPr>
              <w:t>Croissance</w:t>
            </w:r>
          </w:p>
        </w:tc>
      </w:tr>
      <w:tr w:rsidR="00DB48E0" w14:paraId="7D698928" w14:textId="77777777">
        <w:trPr>
          <w:trHeight w:val="170"/>
          <w:jc w:val="center"/>
        </w:trPr>
        <w:tc>
          <w:tcPr>
            <w:tcW w:w="3402" w:type="dxa"/>
            <w:vAlign w:val="center"/>
          </w:tcPr>
          <w:p w14:paraId="3DCB4AAB" w14:textId="77777777" w:rsidR="00DB48E0" w:rsidRDefault="00000000">
            <w:pPr>
              <w:spacing w:before="0"/>
            </w:pPr>
            <w:r>
              <w:t>MSCI Europe value</w:t>
            </w:r>
          </w:p>
        </w:tc>
        <w:tc>
          <w:tcPr>
            <w:tcW w:w="2268" w:type="dxa"/>
            <w:vAlign w:val="center"/>
          </w:tcPr>
          <w:p w14:paraId="3AFC5584" w14:textId="77777777" w:rsidR="00DB48E0" w:rsidRDefault="00000000">
            <w:pPr>
              <w:spacing w:before="0"/>
              <w:rPr>
                <w:color w:val="000000"/>
              </w:rPr>
            </w:pPr>
            <w:r>
              <w:rPr>
                <w:color w:val="000000"/>
              </w:rPr>
              <w:t>Value</w:t>
            </w:r>
          </w:p>
        </w:tc>
      </w:tr>
      <w:tr w:rsidR="00DB48E0" w14:paraId="2115E2AC" w14:textId="77777777">
        <w:trPr>
          <w:trHeight w:val="170"/>
          <w:jc w:val="center"/>
        </w:trPr>
        <w:tc>
          <w:tcPr>
            <w:tcW w:w="3402" w:type="dxa"/>
            <w:vAlign w:val="center"/>
          </w:tcPr>
          <w:p w14:paraId="54BFCC6D" w14:textId="77777777" w:rsidR="00DB48E0" w:rsidRDefault="00000000">
            <w:pPr>
              <w:spacing w:before="0"/>
            </w:pPr>
            <w:r>
              <w:t xml:space="preserve">MSCI Europe </w:t>
            </w:r>
            <w:proofErr w:type="spellStart"/>
            <w:r>
              <w:t>Quality</w:t>
            </w:r>
            <w:proofErr w:type="spellEnd"/>
          </w:p>
        </w:tc>
        <w:tc>
          <w:tcPr>
            <w:tcW w:w="2268" w:type="dxa"/>
            <w:vAlign w:val="center"/>
          </w:tcPr>
          <w:p w14:paraId="5D12460A" w14:textId="77777777" w:rsidR="00DB48E0" w:rsidRDefault="00000000">
            <w:pPr>
              <w:spacing w:before="0"/>
              <w:rPr>
                <w:color w:val="000000"/>
              </w:rPr>
            </w:pPr>
            <w:proofErr w:type="spellStart"/>
            <w:r>
              <w:rPr>
                <w:color w:val="000000"/>
              </w:rPr>
              <w:t>Quality</w:t>
            </w:r>
            <w:proofErr w:type="spellEnd"/>
          </w:p>
        </w:tc>
      </w:tr>
      <w:tr w:rsidR="00DB48E0" w14:paraId="41616291" w14:textId="77777777">
        <w:trPr>
          <w:trHeight w:val="170"/>
          <w:jc w:val="center"/>
        </w:trPr>
        <w:tc>
          <w:tcPr>
            <w:tcW w:w="3402" w:type="dxa"/>
            <w:vAlign w:val="center"/>
          </w:tcPr>
          <w:p w14:paraId="5FA5AFAF" w14:textId="77777777" w:rsidR="00DB48E0" w:rsidRDefault="00000000">
            <w:pPr>
              <w:spacing w:before="0"/>
            </w:pPr>
            <w:r>
              <w:t>MSCI Europe Momentum</w:t>
            </w:r>
          </w:p>
        </w:tc>
        <w:tc>
          <w:tcPr>
            <w:tcW w:w="2268" w:type="dxa"/>
            <w:vAlign w:val="center"/>
          </w:tcPr>
          <w:p w14:paraId="7251A630" w14:textId="77777777" w:rsidR="00DB48E0" w:rsidRDefault="00000000">
            <w:pPr>
              <w:spacing w:before="0"/>
              <w:rPr>
                <w:color w:val="000000"/>
              </w:rPr>
            </w:pPr>
            <w:r>
              <w:rPr>
                <w:color w:val="000000"/>
              </w:rPr>
              <w:t>Momentum</w:t>
            </w:r>
          </w:p>
        </w:tc>
      </w:tr>
      <w:tr w:rsidR="00DB48E0" w14:paraId="1B95B506" w14:textId="77777777">
        <w:trPr>
          <w:trHeight w:val="170"/>
          <w:jc w:val="center"/>
        </w:trPr>
        <w:tc>
          <w:tcPr>
            <w:tcW w:w="3402" w:type="dxa"/>
            <w:tcBorders>
              <w:bottom w:val="single" w:sz="4" w:space="0" w:color="000000"/>
            </w:tcBorders>
            <w:vAlign w:val="center"/>
          </w:tcPr>
          <w:p w14:paraId="500F3A81" w14:textId="77777777" w:rsidR="00DB48E0" w:rsidRDefault="00000000">
            <w:pPr>
              <w:spacing w:before="0"/>
            </w:pPr>
            <w:r>
              <w:t xml:space="preserve">MSCI Europe Minimum </w:t>
            </w:r>
            <w:proofErr w:type="spellStart"/>
            <w:r>
              <w:t>Volatility</w:t>
            </w:r>
            <w:proofErr w:type="spellEnd"/>
          </w:p>
        </w:tc>
        <w:tc>
          <w:tcPr>
            <w:tcW w:w="2268" w:type="dxa"/>
            <w:tcBorders>
              <w:bottom w:val="single" w:sz="4" w:space="0" w:color="000000"/>
            </w:tcBorders>
            <w:vAlign w:val="center"/>
          </w:tcPr>
          <w:p w14:paraId="73443AEE" w14:textId="77777777" w:rsidR="00DB48E0" w:rsidRDefault="00000000">
            <w:pPr>
              <w:spacing w:before="0"/>
              <w:rPr>
                <w:color w:val="000000"/>
              </w:rPr>
            </w:pPr>
            <w:r>
              <w:rPr>
                <w:color w:val="000000"/>
              </w:rPr>
              <w:t xml:space="preserve">Low </w:t>
            </w:r>
            <w:proofErr w:type="spellStart"/>
            <w:r>
              <w:rPr>
                <w:color w:val="000000"/>
              </w:rPr>
              <w:t>volatility</w:t>
            </w:r>
            <w:proofErr w:type="spellEnd"/>
          </w:p>
        </w:tc>
      </w:tr>
    </w:tbl>
    <w:p w14:paraId="594E64B2" w14:textId="77777777" w:rsidR="00DB48E0" w:rsidRDefault="00000000">
      <w:pPr>
        <w:spacing w:after="240"/>
      </w:pPr>
      <w:r>
        <w:t>Source : auteurs, mars 2025.</w:t>
      </w:r>
    </w:p>
    <w:p w14:paraId="4BF3E61E" w14:textId="77777777" w:rsidR="00A27748" w:rsidRDefault="00A27748" w:rsidP="00A27748">
      <w:r>
        <w:t>L'indice MSCI Europe est une référence pour les grandes et moyennes capitalisations des marchés développés européens, couvrant 15 pays : Autriche, Belgique, Danemark, Finlande, France, Allemagne, Irlande, Italie, Pays-Bas, Norvège, Portugal, Espagne, Suède, Suisse et Royaume-Uni. Composé de 414 titres, il représente environ 85 % de la capitalisation boursière ajustée au flottant.</w:t>
      </w:r>
    </w:p>
    <w:p w14:paraId="66CFE71C" w14:textId="77777777" w:rsidR="00A27748" w:rsidRDefault="00A27748" w:rsidP="00A27748">
      <w:r>
        <w:t>L'indice MSCI Europe Large Cap se concentre sur les grandes capitalisations des mêmes marchés. Avec 188 composants, il couvre environ 70 % de la capitalisation ajustée au flottant.</w:t>
      </w:r>
    </w:p>
    <w:p w14:paraId="50E211AF" w14:textId="77777777" w:rsidR="00A27748" w:rsidRDefault="00A27748" w:rsidP="00A27748">
      <w:r>
        <w:lastRenderedPageBreak/>
        <w:t>L'indice MSCI Europe Small Cap reflète la performance des petites capitalisations. Composé de 853 entreprises, il représente environ 14 % de la capitalisation ajustée au flottant.</w:t>
      </w:r>
    </w:p>
    <w:p w14:paraId="0BCD51BA" w14:textId="77777777" w:rsidR="00A27748" w:rsidRDefault="00A27748" w:rsidP="00A27748">
      <w:r>
        <w:t xml:space="preserve">L'indice MSCI Europe </w:t>
      </w:r>
      <w:proofErr w:type="spellStart"/>
      <w:r>
        <w:t>Growth</w:t>
      </w:r>
      <w:proofErr w:type="spellEnd"/>
      <w:r>
        <w:t xml:space="preserve"> regroupe des actions de grande et moyenne capitalisation à profil de croissance dans ces 15 pays. La sélection repose sur cinq indicateurs : (i) taux de croissance du BPA à long et court terme, (ii) croissance interne actuelle, (iii) tendance historique du BPA et (iv) tendance historique du chiffre d’affaires par action.</w:t>
      </w:r>
    </w:p>
    <w:p w14:paraId="5EC4F64E" w14:textId="77777777" w:rsidR="00A27748" w:rsidRDefault="00A27748" w:rsidP="00A27748">
      <w:r>
        <w:t>À l’opposé, l'indice MSCI Europe Value identifie les actions « value » selon trois critères : (i) ratio valeur comptable/prix, (ii) ratio bénéfices prévisionnels à 12 mois/prix et (iii) rendement des bénéfices.</w:t>
      </w:r>
    </w:p>
    <w:p w14:paraId="4529EED8" w14:textId="77777777" w:rsidR="00A27748" w:rsidRDefault="00A27748" w:rsidP="00A27748">
      <w:r>
        <w:t xml:space="preserve">L'indice MSCI Europe </w:t>
      </w:r>
      <w:proofErr w:type="spellStart"/>
      <w:r>
        <w:t>Quality</w:t>
      </w:r>
      <w:proofErr w:type="spellEnd"/>
      <w:r>
        <w:t xml:space="preserve"> sélectionne des actions de croissance de qualité dans l’indice MSCI Europe, selon trois variables : (i) rendement élevé des capitaux propres (ROE), (ii) croissance stable des bénéfices et (iii) faible effet de levier financier.</w:t>
      </w:r>
    </w:p>
    <w:p w14:paraId="74BCAC82" w14:textId="77777777" w:rsidR="00A27748" w:rsidRDefault="00A27748" w:rsidP="00A27748">
      <w:r>
        <w:t>L'indice MSCI Europe Momentum, dérivé de MSCI Europe, vise les titres affichant une forte dynamique haussière, avec une liquidité suffisante, une capacité d’investissement adéquate et une rotation modérée.</w:t>
      </w:r>
    </w:p>
    <w:p w14:paraId="0532E17B" w14:textId="77777777" w:rsidR="00A27748" w:rsidRDefault="00A27748" w:rsidP="00A27748">
      <w:r>
        <w:t xml:space="preserve">Enfin, l'indice MSCI Europe Minimum </w:t>
      </w:r>
      <w:proofErr w:type="spellStart"/>
      <w:r>
        <w:t>Volatility</w:t>
      </w:r>
      <w:proofErr w:type="spellEnd"/>
      <w:r>
        <w:t xml:space="preserve"> reflète une stratégie à variance minimale. Il est optimisé pour réduire le risque absolu tout en restant exposé aux grandes et moyennes capitalisations européennes.</w:t>
      </w:r>
    </w:p>
    <w:p w14:paraId="76DE86A1" w14:textId="0C00CEAE" w:rsidR="00DB48E0" w:rsidRDefault="00A27748" w:rsidP="00A27748">
      <w:r>
        <w:t>Dans notre étude, nous utilisons la rentabilité logarithmique de ces indices.</w:t>
      </w:r>
    </w:p>
    <w:p w14:paraId="5880FC64" w14:textId="286A126F" w:rsidR="00DB48E0" w:rsidRDefault="00A27748" w:rsidP="00A27748">
      <w:pPr>
        <w:pStyle w:val="Lgende"/>
        <w:rPr>
          <w:b w:val="0"/>
          <w:color w:val="000000"/>
        </w:rPr>
      </w:pPr>
      <w:bookmarkStart w:id="5" w:name="_heading=h.64filqzkbi" w:colFirst="0" w:colLast="0"/>
      <w:bookmarkStart w:id="6" w:name="_Toc194078592"/>
      <w:bookmarkEnd w:id="5"/>
      <w:r>
        <w:t xml:space="preserve">Tableau </w:t>
      </w:r>
      <w:fldSimple w:instr=" SEQ Tableau \* ARABIC ">
        <w:r w:rsidR="004D7D3B">
          <w:rPr>
            <w:noProof/>
          </w:rPr>
          <w:t>2</w:t>
        </w:r>
      </w:fldSimple>
      <w:r>
        <w:rPr>
          <w:color w:val="000000"/>
        </w:rPr>
        <w:t>. Statistiques descriptives</w:t>
      </w:r>
      <w:bookmarkEnd w:id="6"/>
      <w:r>
        <w:rPr>
          <w:color w:val="000000"/>
        </w:rPr>
        <w:t xml:space="preserve"> </w:t>
      </w:r>
    </w:p>
    <w:tbl>
      <w:tblPr>
        <w:tblStyle w:val="a0"/>
        <w:tblW w:w="9072"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396"/>
        <w:gridCol w:w="1004"/>
        <w:gridCol w:w="894"/>
        <w:gridCol w:w="889"/>
        <w:gridCol w:w="955"/>
        <w:gridCol w:w="892"/>
        <w:gridCol w:w="944"/>
        <w:gridCol w:w="1206"/>
        <w:gridCol w:w="892"/>
      </w:tblGrid>
      <w:tr w:rsidR="00DB48E0" w14:paraId="72EFD157" w14:textId="77777777">
        <w:trPr>
          <w:jc w:val="center"/>
        </w:trPr>
        <w:tc>
          <w:tcPr>
            <w:tcW w:w="1396" w:type="dxa"/>
            <w:tcBorders>
              <w:top w:val="single" w:sz="4" w:space="0" w:color="000000"/>
              <w:bottom w:val="single" w:sz="4" w:space="0" w:color="000000"/>
            </w:tcBorders>
          </w:tcPr>
          <w:p w14:paraId="675F787E" w14:textId="77777777" w:rsidR="00DB48E0" w:rsidRDefault="00000000">
            <w:r>
              <w:t>Statistiques</w:t>
            </w:r>
          </w:p>
        </w:tc>
        <w:tc>
          <w:tcPr>
            <w:tcW w:w="1004" w:type="dxa"/>
            <w:tcBorders>
              <w:top w:val="single" w:sz="4" w:space="0" w:color="000000"/>
              <w:bottom w:val="single" w:sz="4" w:space="0" w:color="000000"/>
            </w:tcBorders>
          </w:tcPr>
          <w:p w14:paraId="549E76C1" w14:textId="77777777" w:rsidR="00DB48E0" w:rsidRDefault="00000000">
            <w:pPr>
              <w:jc w:val="center"/>
            </w:pPr>
            <w:r>
              <w:t>Marché</w:t>
            </w:r>
          </w:p>
        </w:tc>
        <w:tc>
          <w:tcPr>
            <w:tcW w:w="894" w:type="dxa"/>
            <w:tcBorders>
              <w:top w:val="single" w:sz="4" w:space="0" w:color="000000"/>
              <w:bottom w:val="single" w:sz="4" w:space="0" w:color="000000"/>
            </w:tcBorders>
          </w:tcPr>
          <w:p w14:paraId="5E3EA30D" w14:textId="77777777" w:rsidR="00DB48E0" w:rsidRDefault="00000000">
            <w:pPr>
              <w:jc w:val="center"/>
            </w:pPr>
            <w:r>
              <w:t>Large</w:t>
            </w:r>
          </w:p>
        </w:tc>
        <w:tc>
          <w:tcPr>
            <w:tcW w:w="889" w:type="dxa"/>
            <w:tcBorders>
              <w:top w:val="single" w:sz="4" w:space="0" w:color="000000"/>
              <w:bottom w:val="single" w:sz="4" w:space="0" w:color="000000"/>
            </w:tcBorders>
          </w:tcPr>
          <w:p w14:paraId="24021ADE" w14:textId="77777777" w:rsidR="00DB48E0" w:rsidRDefault="00000000">
            <w:pPr>
              <w:jc w:val="center"/>
            </w:pPr>
            <w:r>
              <w:t>Small</w:t>
            </w:r>
          </w:p>
        </w:tc>
        <w:tc>
          <w:tcPr>
            <w:tcW w:w="955" w:type="dxa"/>
            <w:tcBorders>
              <w:top w:val="single" w:sz="4" w:space="0" w:color="000000"/>
              <w:bottom w:val="single" w:sz="4" w:space="0" w:color="000000"/>
            </w:tcBorders>
          </w:tcPr>
          <w:p w14:paraId="7FCD74C3" w14:textId="77777777" w:rsidR="00DB48E0" w:rsidRDefault="00000000">
            <w:pPr>
              <w:jc w:val="center"/>
            </w:pPr>
            <w:proofErr w:type="spellStart"/>
            <w:r>
              <w:t>Growth</w:t>
            </w:r>
            <w:proofErr w:type="spellEnd"/>
          </w:p>
        </w:tc>
        <w:tc>
          <w:tcPr>
            <w:tcW w:w="892" w:type="dxa"/>
            <w:tcBorders>
              <w:top w:val="single" w:sz="4" w:space="0" w:color="000000"/>
              <w:bottom w:val="single" w:sz="4" w:space="0" w:color="000000"/>
            </w:tcBorders>
          </w:tcPr>
          <w:p w14:paraId="08054CF0" w14:textId="77777777" w:rsidR="00DB48E0" w:rsidRDefault="00000000">
            <w:pPr>
              <w:jc w:val="center"/>
            </w:pPr>
            <w:r>
              <w:t>Value</w:t>
            </w:r>
          </w:p>
        </w:tc>
        <w:tc>
          <w:tcPr>
            <w:tcW w:w="944" w:type="dxa"/>
            <w:tcBorders>
              <w:top w:val="single" w:sz="4" w:space="0" w:color="000000"/>
              <w:bottom w:val="single" w:sz="4" w:space="0" w:color="000000"/>
            </w:tcBorders>
          </w:tcPr>
          <w:p w14:paraId="4E653C79" w14:textId="77777777" w:rsidR="00DB48E0" w:rsidRDefault="00000000">
            <w:pPr>
              <w:jc w:val="center"/>
            </w:pPr>
            <w:proofErr w:type="spellStart"/>
            <w:r>
              <w:t>Quality</w:t>
            </w:r>
            <w:proofErr w:type="spellEnd"/>
          </w:p>
        </w:tc>
        <w:tc>
          <w:tcPr>
            <w:tcW w:w="1206" w:type="dxa"/>
            <w:tcBorders>
              <w:top w:val="single" w:sz="4" w:space="0" w:color="000000"/>
              <w:bottom w:val="single" w:sz="4" w:space="0" w:color="000000"/>
            </w:tcBorders>
          </w:tcPr>
          <w:p w14:paraId="1CCDCB05" w14:textId="77777777" w:rsidR="00DB48E0" w:rsidRDefault="00000000">
            <w:pPr>
              <w:jc w:val="center"/>
            </w:pPr>
            <w:r>
              <w:t>Momentum</w:t>
            </w:r>
          </w:p>
        </w:tc>
        <w:tc>
          <w:tcPr>
            <w:tcW w:w="892" w:type="dxa"/>
            <w:tcBorders>
              <w:top w:val="single" w:sz="4" w:space="0" w:color="000000"/>
              <w:bottom w:val="single" w:sz="4" w:space="0" w:color="000000"/>
            </w:tcBorders>
          </w:tcPr>
          <w:p w14:paraId="1DF24939" w14:textId="77777777" w:rsidR="00DB48E0" w:rsidRDefault="00000000">
            <w:pPr>
              <w:jc w:val="center"/>
            </w:pPr>
            <w:r>
              <w:t>Low vol</w:t>
            </w:r>
          </w:p>
        </w:tc>
      </w:tr>
      <w:tr w:rsidR="00DB48E0" w14:paraId="56C3A8E3" w14:textId="77777777">
        <w:trPr>
          <w:trHeight w:val="170"/>
          <w:jc w:val="center"/>
        </w:trPr>
        <w:tc>
          <w:tcPr>
            <w:tcW w:w="1396" w:type="dxa"/>
            <w:tcBorders>
              <w:top w:val="single" w:sz="4" w:space="0" w:color="000000"/>
            </w:tcBorders>
            <w:vAlign w:val="center"/>
          </w:tcPr>
          <w:p w14:paraId="753EFB4D" w14:textId="77777777" w:rsidR="00DB48E0" w:rsidRDefault="00000000">
            <w:r>
              <w:t>Observations</w:t>
            </w:r>
          </w:p>
        </w:tc>
        <w:tc>
          <w:tcPr>
            <w:tcW w:w="1004" w:type="dxa"/>
            <w:tcBorders>
              <w:top w:val="single" w:sz="4" w:space="0" w:color="000000"/>
            </w:tcBorders>
            <w:vAlign w:val="center"/>
          </w:tcPr>
          <w:p w14:paraId="0C3BAD31" w14:textId="77777777" w:rsidR="00DB48E0" w:rsidRDefault="00000000">
            <w:pPr>
              <w:jc w:val="center"/>
              <w:rPr>
                <w:color w:val="000000"/>
                <w:sz w:val="18"/>
                <w:szCs w:val="18"/>
              </w:rPr>
            </w:pPr>
            <w:r>
              <w:rPr>
                <w:color w:val="000000"/>
                <w:sz w:val="18"/>
                <w:szCs w:val="18"/>
              </w:rPr>
              <w:t>312</w:t>
            </w:r>
          </w:p>
        </w:tc>
        <w:tc>
          <w:tcPr>
            <w:tcW w:w="894" w:type="dxa"/>
            <w:tcBorders>
              <w:top w:val="single" w:sz="4" w:space="0" w:color="000000"/>
            </w:tcBorders>
            <w:vAlign w:val="center"/>
          </w:tcPr>
          <w:p w14:paraId="686FD9C9" w14:textId="77777777" w:rsidR="00DB48E0" w:rsidRDefault="00000000">
            <w:pPr>
              <w:jc w:val="center"/>
              <w:rPr>
                <w:color w:val="000000"/>
                <w:sz w:val="18"/>
                <w:szCs w:val="18"/>
              </w:rPr>
            </w:pPr>
            <w:r>
              <w:rPr>
                <w:color w:val="000000"/>
                <w:sz w:val="18"/>
                <w:szCs w:val="18"/>
              </w:rPr>
              <w:t>312</w:t>
            </w:r>
          </w:p>
        </w:tc>
        <w:tc>
          <w:tcPr>
            <w:tcW w:w="889" w:type="dxa"/>
            <w:tcBorders>
              <w:top w:val="single" w:sz="4" w:space="0" w:color="000000"/>
            </w:tcBorders>
            <w:vAlign w:val="center"/>
          </w:tcPr>
          <w:p w14:paraId="2602DB93" w14:textId="77777777" w:rsidR="00DB48E0" w:rsidRDefault="00000000">
            <w:pPr>
              <w:jc w:val="center"/>
              <w:rPr>
                <w:color w:val="000000"/>
                <w:sz w:val="18"/>
                <w:szCs w:val="18"/>
              </w:rPr>
            </w:pPr>
            <w:r>
              <w:rPr>
                <w:color w:val="000000"/>
                <w:sz w:val="18"/>
                <w:szCs w:val="18"/>
              </w:rPr>
              <w:t>312</w:t>
            </w:r>
          </w:p>
        </w:tc>
        <w:tc>
          <w:tcPr>
            <w:tcW w:w="955" w:type="dxa"/>
            <w:tcBorders>
              <w:top w:val="single" w:sz="4" w:space="0" w:color="000000"/>
            </w:tcBorders>
            <w:vAlign w:val="center"/>
          </w:tcPr>
          <w:p w14:paraId="56AE4AED" w14:textId="77777777" w:rsidR="00DB48E0" w:rsidRDefault="00000000">
            <w:pPr>
              <w:jc w:val="center"/>
              <w:rPr>
                <w:color w:val="000000"/>
                <w:sz w:val="18"/>
                <w:szCs w:val="18"/>
              </w:rPr>
            </w:pPr>
            <w:r>
              <w:rPr>
                <w:color w:val="000000"/>
                <w:sz w:val="18"/>
                <w:szCs w:val="18"/>
              </w:rPr>
              <w:t>312</w:t>
            </w:r>
          </w:p>
        </w:tc>
        <w:tc>
          <w:tcPr>
            <w:tcW w:w="892" w:type="dxa"/>
            <w:tcBorders>
              <w:top w:val="single" w:sz="4" w:space="0" w:color="000000"/>
            </w:tcBorders>
            <w:vAlign w:val="center"/>
          </w:tcPr>
          <w:p w14:paraId="777D4C99" w14:textId="77777777" w:rsidR="00DB48E0" w:rsidRDefault="00000000">
            <w:pPr>
              <w:jc w:val="center"/>
              <w:rPr>
                <w:color w:val="000000"/>
                <w:sz w:val="18"/>
                <w:szCs w:val="18"/>
              </w:rPr>
            </w:pPr>
            <w:r>
              <w:rPr>
                <w:color w:val="000000"/>
                <w:sz w:val="18"/>
                <w:szCs w:val="18"/>
              </w:rPr>
              <w:t>312</w:t>
            </w:r>
          </w:p>
        </w:tc>
        <w:tc>
          <w:tcPr>
            <w:tcW w:w="944" w:type="dxa"/>
            <w:tcBorders>
              <w:top w:val="single" w:sz="4" w:space="0" w:color="000000"/>
            </w:tcBorders>
            <w:vAlign w:val="center"/>
          </w:tcPr>
          <w:p w14:paraId="1CF07601" w14:textId="77777777" w:rsidR="00DB48E0" w:rsidRDefault="00000000">
            <w:pPr>
              <w:jc w:val="center"/>
              <w:rPr>
                <w:color w:val="000000"/>
                <w:sz w:val="18"/>
                <w:szCs w:val="18"/>
              </w:rPr>
            </w:pPr>
            <w:r>
              <w:rPr>
                <w:color w:val="000000"/>
                <w:sz w:val="18"/>
                <w:szCs w:val="18"/>
              </w:rPr>
              <w:t>312</w:t>
            </w:r>
          </w:p>
        </w:tc>
        <w:tc>
          <w:tcPr>
            <w:tcW w:w="1206" w:type="dxa"/>
            <w:tcBorders>
              <w:top w:val="single" w:sz="4" w:space="0" w:color="000000"/>
            </w:tcBorders>
            <w:vAlign w:val="center"/>
          </w:tcPr>
          <w:p w14:paraId="4FEBD7E8" w14:textId="77777777" w:rsidR="00DB48E0" w:rsidRDefault="00000000">
            <w:pPr>
              <w:jc w:val="center"/>
              <w:rPr>
                <w:color w:val="000000"/>
                <w:sz w:val="18"/>
                <w:szCs w:val="18"/>
              </w:rPr>
            </w:pPr>
            <w:r>
              <w:rPr>
                <w:color w:val="000000"/>
                <w:sz w:val="18"/>
                <w:szCs w:val="18"/>
              </w:rPr>
              <w:t>312</w:t>
            </w:r>
          </w:p>
        </w:tc>
        <w:tc>
          <w:tcPr>
            <w:tcW w:w="892" w:type="dxa"/>
            <w:tcBorders>
              <w:top w:val="single" w:sz="4" w:space="0" w:color="000000"/>
            </w:tcBorders>
            <w:vAlign w:val="center"/>
          </w:tcPr>
          <w:p w14:paraId="25C6CD6E" w14:textId="77777777" w:rsidR="00DB48E0" w:rsidRDefault="00000000">
            <w:pPr>
              <w:jc w:val="center"/>
              <w:rPr>
                <w:color w:val="000000"/>
                <w:sz w:val="18"/>
                <w:szCs w:val="18"/>
              </w:rPr>
            </w:pPr>
            <w:r>
              <w:rPr>
                <w:color w:val="000000"/>
                <w:sz w:val="18"/>
                <w:szCs w:val="18"/>
              </w:rPr>
              <w:t>277</w:t>
            </w:r>
          </w:p>
        </w:tc>
      </w:tr>
      <w:tr w:rsidR="00DB48E0" w14:paraId="2CC61704" w14:textId="77777777">
        <w:trPr>
          <w:trHeight w:val="170"/>
          <w:jc w:val="center"/>
        </w:trPr>
        <w:tc>
          <w:tcPr>
            <w:tcW w:w="1396" w:type="dxa"/>
            <w:vAlign w:val="center"/>
          </w:tcPr>
          <w:p w14:paraId="2B32E196" w14:textId="77777777" w:rsidR="00DB48E0" w:rsidRDefault="00000000">
            <w:pPr>
              <w:spacing w:before="0"/>
            </w:pPr>
            <w:r>
              <w:t>Maximum</w:t>
            </w:r>
          </w:p>
        </w:tc>
        <w:tc>
          <w:tcPr>
            <w:tcW w:w="1004" w:type="dxa"/>
            <w:vAlign w:val="center"/>
          </w:tcPr>
          <w:p w14:paraId="5A04F827" w14:textId="77777777" w:rsidR="00DB48E0" w:rsidRDefault="00000000">
            <w:pPr>
              <w:spacing w:before="0"/>
              <w:jc w:val="center"/>
              <w:rPr>
                <w:color w:val="000000"/>
                <w:sz w:val="18"/>
                <w:szCs w:val="18"/>
              </w:rPr>
            </w:pPr>
            <w:r>
              <w:rPr>
                <w:color w:val="000000"/>
                <w:sz w:val="18"/>
                <w:szCs w:val="18"/>
              </w:rPr>
              <w:t>12,94%</w:t>
            </w:r>
          </w:p>
        </w:tc>
        <w:tc>
          <w:tcPr>
            <w:tcW w:w="894" w:type="dxa"/>
            <w:vAlign w:val="center"/>
          </w:tcPr>
          <w:p w14:paraId="0BB0E702" w14:textId="77777777" w:rsidR="00DB48E0" w:rsidRDefault="00000000">
            <w:pPr>
              <w:spacing w:before="0"/>
              <w:jc w:val="center"/>
              <w:rPr>
                <w:color w:val="000000"/>
                <w:sz w:val="18"/>
                <w:szCs w:val="18"/>
              </w:rPr>
            </w:pPr>
            <w:r>
              <w:rPr>
                <w:color w:val="000000"/>
                <w:sz w:val="18"/>
                <w:szCs w:val="18"/>
              </w:rPr>
              <w:t>13,02%</w:t>
            </w:r>
          </w:p>
        </w:tc>
        <w:tc>
          <w:tcPr>
            <w:tcW w:w="889" w:type="dxa"/>
            <w:vAlign w:val="center"/>
          </w:tcPr>
          <w:p w14:paraId="1C9AEE5A" w14:textId="77777777" w:rsidR="00DB48E0" w:rsidRDefault="00000000">
            <w:pPr>
              <w:spacing w:before="0"/>
              <w:jc w:val="center"/>
              <w:rPr>
                <w:color w:val="000000"/>
                <w:sz w:val="18"/>
                <w:szCs w:val="18"/>
              </w:rPr>
            </w:pPr>
            <w:r>
              <w:rPr>
                <w:color w:val="000000"/>
                <w:sz w:val="18"/>
                <w:szCs w:val="18"/>
              </w:rPr>
              <w:t>19,13%</w:t>
            </w:r>
          </w:p>
        </w:tc>
        <w:tc>
          <w:tcPr>
            <w:tcW w:w="955" w:type="dxa"/>
            <w:vAlign w:val="center"/>
          </w:tcPr>
          <w:p w14:paraId="7EB6B621" w14:textId="77777777" w:rsidR="00DB48E0" w:rsidRDefault="00000000">
            <w:pPr>
              <w:spacing w:before="0"/>
              <w:jc w:val="center"/>
              <w:rPr>
                <w:color w:val="000000"/>
                <w:sz w:val="18"/>
                <w:szCs w:val="18"/>
              </w:rPr>
            </w:pPr>
            <w:r>
              <w:rPr>
                <w:color w:val="000000"/>
                <w:sz w:val="18"/>
                <w:szCs w:val="18"/>
              </w:rPr>
              <w:t>12,06%</w:t>
            </w:r>
          </w:p>
        </w:tc>
        <w:tc>
          <w:tcPr>
            <w:tcW w:w="892" w:type="dxa"/>
            <w:vAlign w:val="center"/>
          </w:tcPr>
          <w:p w14:paraId="4275FC1C" w14:textId="77777777" w:rsidR="00DB48E0" w:rsidRDefault="00000000">
            <w:pPr>
              <w:spacing w:before="0"/>
              <w:jc w:val="center"/>
              <w:rPr>
                <w:color w:val="000000"/>
                <w:sz w:val="18"/>
                <w:szCs w:val="18"/>
              </w:rPr>
            </w:pPr>
            <w:r>
              <w:rPr>
                <w:color w:val="000000"/>
                <w:sz w:val="18"/>
                <w:szCs w:val="18"/>
              </w:rPr>
              <w:t>17,70%</w:t>
            </w:r>
          </w:p>
        </w:tc>
        <w:tc>
          <w:tcPr>
            <w:tcW w:w="944" w:type="dxa"/>
            <w:vAlign w:val="center"/>
          </w:tcPr>
          <w:p w14:paraId="43559C35" w14:textId="77777777" w:rsidR="00DB48E0" w:rsidRDefault="00000000">
            <w:pPr>
              <w:spacing w:before="0"/>
              <w:jc w:val="center"/>
              <w:rPr>
                <w:color w:val="000000"/>
                <w:sz w:val="18"/>
                <w:szCs w:val="18"/>
              </w:rPr>
            </w:pPr>
            <w:r>
              <w:rPr>
                <w:color w:val="000000"/>
                <w:sz w:val="18"/>
                <w:szCs w:val="18"/>
              </w:rPr>
              <w:t>10,67%</w:t>
            </w:r>
          </w:p>
        </w:tc>
        <w:tc>
          <w:tcPr>
            <w:tcW w:w="1206" w:type="dxa"/>
            <w:vAlign w:val="center"/>
          </w:tcPr>
          <w:p w14:paraId="46567585" w14:textId="77777777" w:rsidR="00DB48E0" w:rsidRDefault="00000000">
            <w:pPr>
              <w:spacing w:before="0"/>
              <w:jc w:val="center"/>
              <w:rPr>
                <w:color w:val="000000"/>
                <w:sz w:val="18"/>
                <w:szCs w:val="18"/>
              </w:rPr>
            </w:pPr>
            <w:r>
              <w:rPr>
                <w:color w:val="000000"/>
                <w:sz w:val="18"/>
                <w:szCs w:val="18"/>
              </w:rPr>
              <w:t>16,89%</w:t>
            </w:r>
          </w:p>
        </w:tc>
        <w:tc>
          <w:tcPr>
            <w:tcW w:w="892" w:type="dxa"/>
            <w:vAlign w:val="center"/>
          </w:tcPr>
          <w:p w14:paraId="7DE7481A" w14:textId="77777777" w:rsidR="00DB48E0" w:rsidRDefault="00000000">
            <w:pPr>
              <w:spacing w:before="0"/>
              <w:jc w:val="center"/>
              <w:rPr>
                <w:color w:val="000000"/>
                <w:sz w:val="18"/>
                <w:szCs w:val="18"/>
              </w:rPr>
            </w:pPr>
            <w:r>
              <w:rPr>
                <w:color w:val="000000"/>
                <w:sz w:val="18"/>
                <w:szCs w:val="18"/>
              </w:rPr>
              <w:t>8,54%</w:t>
            </w:r>
          </w:p>
        </w:tc>
      </w:tr>
      <w:tr w:rsidR="00DB48E0" w14:paraId="1C8AABD9" w14:textId="77777777">
        <w:trPr>
          <w:trHeight w:val="170"/>
          <w:jc w:val="center"/>
        </w:trPr>
        <w:tc>
          <w:tcPr>
            <w:tcW w:w="1396" w:type="dxa"/>
            <w:vAlign w:val="center"/>
          </w:tcPr>
          <w:p w14:paraId="466DBAD0" w14:textId="77777777" w:rsidR="00DB48E0" w:rsidRDefault="00000000">
            <w:pPr>
              <w:spacing w:before="0"/>
            </w:pPr>
            <w:r>
              <w:t>Minimum</w:t>
            </w:r>
          </w:p>
        </w:tc>
        <w:tc>
          <w:tcPr>
            <w:tcW w:w="1004" w:type="dxa"/>
            <w:vAlign w:val="center"/>
          </w:tcPr>
          <w:p w14:paraId="7AA4868A" w14:textId="77777777" w:rsidR="00DB48E0" w:rsidRDefault="00000000">
            <w:pPr>
              <w:spacing w:before="0"/>
              <w:jc w:val="center"/>
              <w:rPr>
                <w:color w:val="000000"/>
                <w:sz w:val="18"/>
                <w:szCs w:val="18"/>
              </w:rPr>
            </w:pPr>
            <w:r>
              <w:rPr>
                <w:color w:val="000000"/>
                <w:sz w:val="18"/>
                <w:szCs w:val="18"/>
              </w:rPr>
              <w:t>-15,83%</w:t>
            </w:r>
          </w:p>
        </w:tc>
        <w:tc>
          <w:tcPr>
            <w:tcW w:w="894" w:type="dxa"/>
            <w:vAlign w:val="center"/>
          </w:tcPr>
          <w:p w14:paraId="14CA5931" w14:textId="77777777" w:rsidR="00DB48E0" w:rsidRDefault="00000000">
            <w:pPr>
              <w:spacing w:before="0"/>
              <w:jc w:val="center"/>
              <w:rPr>
                <w:color w:val="000000"/>
                <w:sz w:val="18"/>
                <w:szCs w:val="18"/>
              </w:rPr>
            </w:pPr>
            <w:r>
              <w:rPr>
                <w:color w:val="000000"/>
                <w:sz w:val="18"/>
                <w:szCs w:val="18"/>
              </w:rPr>
              <w:t>-15,49%</w:t>
            </w:r>
          </w:p>
        </w:tc>
        <w:tc>
          <w:tcPr>
            <w:tcW w:w="889" w:type="dxa"/>
            <w:vAlign w:val="center"/>
          </w:tcPr>
          <w:p w14:paraId="31CC666C" w14:textId="77777777" w:rsidR="00DB48E0" w:rsidRDefault="00000000">
            <w:pPr>
              <w:spacing w:before="0"/>
              <w:jc w:val="center"/>
              <w:rPr>
                <w:color w:val="000000"/>
                <w:sz w:val="18"/>
                <w:szCs w:val="18"/>
              </w:rPr>
            </w:pPr>
            <w:r>
              <w:rPr>
                <w:color w:val="000000"/>
                <w:sz w:val="18"/>
                <w:szCs w:val="18"/>
              </w:rPr>
              <w:t>-24,07%</w:t>
            </w:r>
          </w:p>
        </w:tc>
        <w:tc>
          <w:tcPr>
            <w:tcW w:w="955" w:type="dxa"/>
            <w:vAlign w:val="center"/>
          </w:tcPr>
          <w:p w14:paraId="09820ADD" w14:textId="77777777" w:rsidR="00DB48E0" w:rsidRDefault="00000000">
            <w:pPr>
              <w:spacing w:before="0"/>
              <w:jc w:val="center"/>
              <w:rPr>
                <w:color w:val="000000"/>
                <w:sz w:val="18"/>
                <w:szCs w:val="18"/>
              </w:rPr>
            </w:pPr>
            <w:r>
              <w:rPr>
                <w:color w:val="000000"/>
                <w:sz w:val="18"/>
                <w:szCs w:val="18"/>
              </w:rPr>
              <w:t>-12,10%</w:t>
            </w:r>
          </w:p>
        </w:tc>
        <w:tc>
          <w:tcPr>
            <w:tcW w:w="892" w:type="dxa"/>
            <w:vAlign w:val="center"/>
          </w:tcPr>
          <w:p w14:paraId="5CE77AA7" w14:textId="77777777" w:rsidR="00DB48E0" w:rsidRDefault="00000000">
            <w:pPr>
              <w:spacing w:before="0"/>
              <w:jc w:val="center"/>
              <w:rPr>
                <w:color w:val="000000"/>
                <w:sz w:val="18"/>
                <w:szCs w:val="18"/>
              </w:rPr>
            </w:pPr>
            <w:r>
              <w:rPr>
                <w:color w:val="000000"/>
                <w:sz w:val="18"/>
                <w:szCs w:val="18"/>
              </w:rPr>
              <w:t>-21,82%</w:t>
            </w:r>
          </w:p>
        </w:tc>
        <w:tc>
          <w:tcPr>
            <w:tcW w:w="944" w:type="dxa"/>
            <w:vAlign w:val="center"/>
          </w:tcPr>
          <w:p w14:paraId="3759459D" w14:textId="77777777" w:rsidR="00DB48E0" w:rsidRDefault="00000000">
            <w:pPr>
              <w:spacing w:before="0"/>
              <w:jc w:val="center"/>
              <w:rPr>
                <w:color w:val="000000"/>
                <w:sz w:val="18"/>
                <w:szCs w:val="18"/>
              </w:rPr>
            </w:pPr>
            <w:r>
              <w:rPr>
                <w:color w:val="000000"/>
                <w:sz w:val="18"/>
                <w:szCs w:val="18"/>
              </w:rPr>
              <w:t>-12,78%</w:t>
            </w:r>
          </w:p>
        </w:tc>
        <w:tc>
          <w:tcPr>
            <w:tcW w:w="1206" w:type="dxa"/>
            <w:vAlign w:val="center"/>
          </w:tcPr>
          <w:p w14:paraId="76D075EB" w14:textId="77777777" w:rsidR="00DB48E0" w:rsidRDefault="00000000">
            <w:pPr>
              <w:spacing w:before="0"/>
              <w:jc w:val="center"/>
              <w:rPr>
                <w:color w:val="000000"/>
                <w:sz w:val="18"/>
                <w:szCs w:val="18"/>
              </w:rPr>
            </w:pPr>
            <w:r>
              <w:rPr>
                <w:color w:val="000000"/>
                <w:sz w:val="18"/>
                <w:szCs w:val="18"/>
              </w:rPr>
              <w:t>-16,68%</w:t>
            </w:r>
          </w:p>
        </w:tc>
        <w:tc>
          <w:tcPr>
            <w:tcW w:w="892" w:type="dxa"/>
            <w:vAlign w:val="center"/>
          </w:tcPr>
          <w:p w14:paraId="3648A910" w14:textId="77777777" w:rsidR="00DB48E0" w:rsidRDefault="00000000">
            <w:pPr>
              <w:spacing w:before="0"/>
              <w:jc w:val="center"/>
              <w:rPr>
                <w:color w:val="000000"/>
                <w:sz w:val="18"/>
                <w:szCs w:val="18"/>
              </w:rPr>
            </w:pPr>
            <w:r>
              <w:rPr>
                <w:color w:val="000000"/>
                <w:sz w:val="18"/>
                <w:szCs w:val="18"/>
              </w:rPr>
              <w:t>-11,27%</w:t>
            </w:r>
          </w:p>
        </w:tc>
      </w:tr>
      <w:tr w:rsidR="00DB48E0" w14:paraId="4B9AFBE7" w14:textId="77777777">
        <w:trPr>
          <w:trHeight w:val="170"/>
          <w:jc w:val="center"/>
        </w:trPr>
        <w:tc>
          <w:tcPr>
            <w:tcW w:w="1396" w:type="dxa"/>
            <w:vAlign w:val="center"/>
          </w:tcPr>
          <w:p w14:paraId="0EEF5FEE" w14:textId="77777777" w:rsidR="00DB48E0" w:rsidRDefault="00000000">
            <w:pPr>
              <w:spacing w:before="0"/>
            </w:pPr>
            <w:r>
              <w:t>Moyenne</w:t>
            </w:r>
          </w:p>
        </w:tc>
        <w:tc>
          <w:tcPr>
            <w:tcW w:w="1004" w:type="dxa"/>
            <w:vAlign w:val="center"/>
          </w:tcPr>
          <w:p w14:paraId="103FD480" w14:textId="77777777" w:rsidR="00DB48E0" w:rsidRDefault="00000000">
            <w:pPr>
              <w:spacing w:before="0"/>
              <w:jc w:val="center"/>
              <w:rPr>
                <w:color w:val="000000"/>
                <w:sz w:val="18"/>
                <w:szCs w:val="18"/>
              </w:rPr>
            </w:pPr>
            <w:r>
              <w:rPr>
                <w:color w:val="000000"/>
                <w:sz w:val="18"/>
                <w:szCs w:val="18"/>
              </w:rPr>
              <w:t>0,17%</w:t>
            </w:r>
          </w:p>
        </w:tc>
        <w:tc>
          <w:tcPr>
            <w:tcW w:w="894" w:type="dxa"/>
            <w:vAlign w:val="center"/>
          </w:tcPr>
          <w:p w14:paraId="7BC7FE53" w14:textId="77777777" w:rsidR="00DB48E0" w:rsidRDefault="00000000">
            <w:pPr>
              <w:spacing w:before="0"/>
              <w:jc w:val="center"/>
              <w:rPr>
                <w:color w:val="000000"/>
                <w:sz w:val="18"/>
                <w:szCs w:val="18"/>
              </w:rPr>
            </w:pPr>
            <w:r>
              <w:rPr>
                <w:color w:val="000000"/>
                <w:sz w:val="18"/>
                <w:szCs w:val="18"/>
              </w:rPr>
              <w:t>0,14%</w:t>
            </w:r>
          </w:p>
        </w:tc>
        <w:tc>
          <w:tcPr>
            <w:tcW w:w="889" w:type="dxa"/>
            <w:vAlign w:val="center"/>
          </w:tcPr>
          <w:p w14:paraId="4274AF76" w14:textId="77777777" w:rsidR="00DB48E0" w:rsidRDefault="00000000">
            <w:pPr>
              <w:spacing w:before="0"/>
              <w:jc w:val="center"/>
              <w:rPr>
                <w:color w:val="000000"/>
                <w:sz w:val="18"/>
                <w:szCs w:val="18"/>
              </w:rPr>
            </w:pPr>
            <w:r>
              <w:rPr>
                <w:color w:val="000000"/>
                <w:sz w:val="18"/>
                <w:szCs w:val="18"/>
              </w:rPr>
              <w:t>0,47%</w:t>
            </w:r>
          </w:p>
        </w:tc>
        <w:tc>
          <w:tcPr>
            <w:tcW w:w="955" w:type="dxa"/>
            <w:vAlign w:val="center"/>
          </w:tcPr>
          <w:p w14:paraId="117C1EB5" w14:textId="77777777" w:rsidR="00DB48E0" w:rsidRDefault="00000000">
            <w:pPr>
              <w:spacing w:before="0"/>
              <w:jc w:val="center"/>
              <w:rPr>
                <w:color w:val="000000"/>
                <w:sz w:val="18"/>
                <w:szCs w:val="18"/>
              </w:rPr>
            </w:pPr>
            <w:r>
              <w:rPr>
                <w:color w:val="000000"/>
                <w:sz w:val="18"/>
                <w:szCs w:val="18"/>
              </w:rPr>
              <w:t>0,22%</w:t>
            </w:r>
          </w:p>
        </w:tc>
        <w:tc>
          <w:tcPr>
            <w:tcW w:w="892" w:type="dxa"/>
            <w:vAlign w:val="center"/>
          </w:tcPr>
          <w:p w14:paraId="61B2BB40" w14:textId="77777777" w:rsidR="00DB48E0" w:rsidRDefault="00000000">
            <w:pPr>
              <w:spacing w:before="0"/>
              <w:jc w:val="center"/>
              <w:rPr>
                <w:color w:val="000000"/>
                <w:sz w:val="18"/>
                <w:szCs w:val="18"/>
              </w:rPr>
            </w:pPr>
            <w:r>
              <w:rPr>
                <w:color w:val="000000"/>
                <w:sz w:val="18"/>
                <w:szCs w:val="18"/>
              </w:rPr>
              <w:t>0,09%</w:t>
            </w:r>
          </w:p>
        </w:tc>
        <w:tc>
          <w:tcPr>
            <w:tcW w:w="944" w:type="dxa"/>
            <w:vAlign w:val="center"/>
          </w:tcPr>
          <w:p w14:paraId="20C67A9E" w14:textId="77777777" w:rsidR="00DB48E0" w:rsidRDefault="00000000">
            <w:pPr>
              <w:spacing w:before="0"/>
              <w:jc w:val="center"/>
              <w:rPr>
                <w:color w:val="000000"/>
                <w:sz w:val="18"/>
                <w:szCs w:val="18"/>
              </w:rPr>
            </w:pPr>
            <w:r>
              <w:rPr>
                <w:color w:val="000000"/>
                <w:sz w:val="18"/>
                <w:szCs w:val="18"/>
              </w:rPr>
              <w:t>0,36%</w:t>
            </w:r>
          </w:p>
        </w:tc>
        <w:tc>
          <w:tcPr>
            <w:tcW w:w="1206" w:type="dxa"/>
            <w:vAlign w:val="center"/>
          </w:tcPr>
          <w:p w14:paraId="795AB63E" w14:textId="77777777" w:rsidR="00DB48E0" w:rsidRDefault="00000000">
            <w:pPr>
              <w:spacing w:before="0"/>
              <w:jc w:val="center"/>
              <w:rPr>
                <w:color w:val="000000"/>
                <w:sz w:val="18"/>
                <w:szCs w:val="18"/>
              </w:rPr>
            </w:pPr>
            <w:r>
              <w:rPr>
                <w:color w:val="000000"/>
                <w:sz w:val="18"/>
                <w:szCs w:val="18"/>
              </w:rPr>
              <w:t>0,47%</w:t>
            </w:r>
          </w:p>
        </w:tc>
        <w:tc>
          <w:tcPr>
            <w:tcW w:w="892" w:type="dxa"/>
            <w:vAlign w:val="center"/>
          </w:tcPr>
          <w:p w14:paraId="280E673B" w14:textId="77777777" w:rsidR="00DB48E0" w:rsidRDefault="00000000">
            <w:pPr>
              <w:spacing w:before="0"/>
              <w:jc w:val="center"/>
              <w:rPr>
                <w:color w:val="000000"/>
                <w:sz w:val="18"/>
                <w:szCs w:val="18"/>
              </w:rPr>
            </w:pPr>
            <w:r>
              <w:rPr>
                <w:color w:val="000000"/>
                <w:sz w:val="18"/>
                <w:szCs w:val="18"/>
              </w:rPr>
              <w:t>0,30%</w:t>
            </w:r>
          </w:p>
        </w:tc>
      </w:tr>
      <w:tr w:rsidR="00DB48E0" w14:paraId="3AE4692D" w14:textId="77777777">
        <w:trPr>
          <w:trHeight w:val="170"/>
          <w:jc w:val="center"/>
        </w:trPr>
        <w:tc>
          <w:tcPr>
            <w:tcW w:w="1396" w:type="dxa"/>
            <w:vAlign w:val="center"/>
          </w:tcPr>
          <w:p w14:paraId="13BEB2F9" w14:textId="77777777" w:rsidR="00DB48E0" w:rsidRDefault="00000000">
            <w:pPr>
              <w:spacing w:before="0"/>
            </w:pPr>
            <w:r>
              <w:t>Médiane</w:t>
            </w:r>
          </w:p>
        </w:tc>
        <w:tc>
          <w:tcPr>
            <w:tcW w:w="1004" w:type="dxa"/>
            <w:vAlign w:val="center"/>
          </w:tcPr>
          <w:p w14:paraId="15E4BD12" w14:textId="77777777" w:rsidR="00DB48E0" w:rsidRDefault="00000000">
            <w:pPr>
              <w:spacing w:before="0"/>
              <w:jc w:val="center"/>
              <w:rPr>
                <w:color w:val="000000"/>
                <w:sz w:val="18"/>
                <w:szCs w:val="18"/>
              </w:rPr>
            </w:pPr>
            <w:r>
              <w:rPr>
                <w:color w:val="000000"/>
                <w:sz w:val="18"/>
                <w:szCs w:val="18"/>
              </w:rPr>
              <w:t>0,84%</w:t>
            </w:r>
          </w:p>
        </w:tc>
        <w:tc>
          <w:tcPr>
            <w:tcW w:w="894" w:type="dxa"/>
            <w:vAlign w:val="center"/>
          </w:tcPr>
          <w:p w14:paraId="03362160" w14:textId="77777777" w:rsidR="00DB48E0" w:rsidRDefault="00000000">
            <w:pPr>
              <w:spacing w:before="0"/>
              <w:jc w:val="center"/>
              <w:rPr>
                <w:color w:val="000000"/>
                <w:sz w:val="18"/>
                <w:szCs w:val="18"/>
              </w:rPr>
            </w:pPr>
            <w:r>
              <w:rPr>
                <w:color w:val="000000"/>
                <w:sz w:val="18"/>
                <w:szCs w:val="18"/>
              </w:rPr>
              <w:t>0,82%</w:t>
            </w:r>
          </w:p>
        </w:tc>
        <w:tc>
          <w:tcPr>
            <w:tcW w:w="889" w:type="dxa"/>
            <w:vAlign w:val="center"/>
          </w:tcPr>
          <w:p w14:paraId="4EAB1E71" w14:textId="77777777" w:rsidR="00DB48E0" w:rsidRDefault="00000000">
            <w:pPr>
              <w:spacing w:before="0"/>
              <w:jc w:val="center"/>
              <w:rPr>
                <w:color w:val="000000"/>
                <w:sz w:val="18"/>
                <w:szCs w:val="18"/>
              </w:rPr>
            </w:pPr>
            <w:r>
              <w:rPr>
                <w:color w:val="000000"/>
                <w:sz w:val="18"/>
                <w:szCs w:val="18"/>
              </w:rPr>
              <w:t>1,06%</w:t>
            </w:r>
          </w:p>
        </w:tc>
        <w:tc>
          <w:tcPr>
            <w:tcW w:w="955" w:type="dxa"/>
            <w:vAlign w:val="center"/>
          </w:tcPr>
          <w:p w14:paraId="15BBA23B" w14:textId="77777777" w:rsidR="00DB48E0" w:rsidRDefault="00000000">
            <w:pPr>
              <w:spacing w:before="0"/>
              <w:jc w:val="center"/>
              <w:rPr>
                <w:color w:val="000000"/>
                <w:sz w:val="18"/>
                <w:szCs w:val="18"/>
              </w:rPr>
            </w:pPr>
            <w:r>
              <w:rPr>
                <w:color w:val="000000"/>
                <w:sz w:val="18"/>
                <w:szCs w:val="18"/>
              </w:rPr>
              <w:t>0,81%</w:t>
            </w:r>
          </w:p>
        </w:tc>
        <w:tc>
          <w:tcPr>
            <w:tcW w:w="892" w:type="dxa"/>
            <w:vAlign w:val="center"/>
          </w:tcPr>
          <w:p w14:paraId="5A4B7F5C" w14:textId="77777777" w:rsidR="00DB48E0" w:rsidRDefault="00000000">
            <w:pPr>
              <w:spacing w:before="0"/>
              <w:jc w:val="center"/>
              <w:rPr>
                <w:color w:val="000000"/>
                <w:sz w:val="18"/>
                <w:szCs w:val="18"/>
              </w:rPr>
            </w:pPr>
            <w:r>
              <w:rPr>
                <w:color w:val="000000"/>
                <w:sz w:val="18"/>
                <w:szCs w:val="18"/>
              </w:rPr>
              <w:t>0,81%</w:t>
            </w:r>
          </w:p>
        </w:tc>
        <w:tc>
          <w:tcPr>
            <w:tcW w:w="944" w:type="dxa"/>
            <w:vAlign w:val="center"/>
          </w:tcPr>
          <w:p w14:paraId="1D61C2AB" w14:textId="77777777" w:rsidR="00DB48E0" w:rsidRDefault="00000000">
            <w:pPr>
              <w:spacing w:before="0"/>
              <w:jc w:val="center"/>
              <w:rPr>
                <w:color w:val="000000"/>
                <w:sz w:val="18"/>
                <w:szCs w:val="18"/>
              </w:rPr>
            </w:pPr>
            <w:r>
              <w:rPr>
                <w:color w:val="000000"/>
                <w:sz w:val="18"/>
                <w:szCs w:val="18"/>
              </w:rPr>
              <w:t>0,74%</w:t>
            </w:r>
          </w:p>
        </w:tc>
        <w:tc>
          <w:tcPr>
            <w:tcW w:w="1206" w:type="dxa"/>
            <w:vAlign w:val="center"/>
          </w:tcPr>
          <w:p w14:paraId="4A75D038" w14:textId="77777777" w:rsidR="00DB48E0" w:rsidRDefault="00000000">
            <w:pPr>
              <w:spacing w:before="0"/>
              <w:jc w:val="center"/>
              <w:rPr>
                <w:color w:val="000000"/>
                <w:sz w:val="18"/>
                <w:szCs w:val="18"/>
              </w:rPr>
            </w:pPr>
            <w:r>
              <w:rPr>
                <w:color w:val="000000"/>
                <w:sz w:val="18"/>
                <w:szCs w:val="18"/>
              </w:rPr>
              <w:t>0,67%</w:t>
            </w:r>
          </w:p>
        </w:tc>
        <w:tc>
          <w:tcPr>
            <w:tcW w:w="892" w:type="dxa"/>
            <w:vAlign w:val="center"/>
          </w:tcPr>
          <w:p w14:paraId="24C1D3BB" w14:textId="77777777" w:rsidR="00DB48E0" w:rsidRDefault="00000000">
            <w:pPr>
              <w:spacing w:before="0"/>
              <w:jc w:val="center"/>
              <w:rPr>
                <w:color w:val="000000"/>
                <w:sz w:val="18"/>
                <w:szCs w:val="18"/>
              </w:rPr>
            </w:pPr>
            <w:r>
              <w:rPr>
                <w:color w:val="000000"/>
                <w:sz w:val="18"/>
                <w:szCs w:val="18"/>
              </w:rPr>
              <w:t>0,69%</w:t>
            </w:r>
          </w:p>
        </w:tc>
      </w:tr>
      <w:tr w:rsidR="00DB48E0" w14:paraId="71EB7861" w14:textId="77777777">
        <w:trPr>
          <w:trHeight w:val="170"/>
          <w:jc w:val="center"/>
        </w:trPr>
        <w:tc>
          <w:tcPr>
            <w:tcW w:w="1396" w:type="dxa"/>
            <w:vAlign w:val="center"/>
          </w:tcPr>
          <w:p w14:paraId="67A3BEAF" w14:textId="77777777" w:rsidR="00DB48E0" w:rsidRDefault="00000000">
            <w:pPr>
              <w:spacing w:before="0"/>
            </w:pPr>
            <w:r>
              <w:t>Ecart-type</w:t>
            </w:r>
          </w:p>
        </w:tc>
        <w:tc>
          <w:tcPr>
            <w:tcW w:w="1004" w:type="dxa"/>
            <w:vAlign w:val="center"/>
          </w:tcPr>
          <w:p w14:paraId="0FD72987" w14:textId="77777777" w:rsidR="00DB48E0" w:rsidRDefault="00000000">
            <w:pPr>
              <w:spacing w:before="0"/>
              <w:jc w:val="center"/>
              <w:rPr>
                <w:color w:val="000000"/>
                <w:sz w:val="18"/>
                <w:szCs w:val="18"/>
              </w:rPr>
            </w:pPr>
            <w:r>
              <w:rPr>
                <w:color w:val="000000"/>
                <w:sz w:val="18"/>
                <w:szCs w:val="18"/>
              </w:rPr>
              <w:t>4,33%</w:t>
            </w:r>
          </w:p>
        </w:tc>
        <w:tc>
          <w:tcPr>
            <w:tcW w:w="894" w:type="dxa"/>
            <w:vAlign w:val="center"/>
          </w:tcPr>
          <w:p w14:paraId="4C60CD60" w14:textId="77777777" w:rsidR="00DB48E0" w:rsidRDefault="00000000">
            <w:pPr>
              <w:spacing w:before="0"/>
              <w:jc w:val="center"/>
              <w:rPr>
                <w:color w:val="000000"/>
                <w:sz w:val="18"/>
                <w:szCs w:val="18"/>
              </w:rPr>
            </w:pPr>
            <w:r>
              <w:rPr>
                <w:color w:val="000000"/>
                <w:sz w:val="18"/>
                <w:szCs w:val="18"/>
              </w:rPr>
              <w:t>4,30%</w:t>
            </w:r>
          </w:p>
        </w:tc>
        <w:tc>
          <w:tcPr>
            <w:tcW w:w="889" w:type="dxa"/>
            <w:vAlign w:val="center"/>
          </w:tcPr>
          <w:p w14:paraId="38B3B198" w14:textId="77777777" w:rsidR="00DB48E0" w:rsidRDefault="00000000">
            <w:pPr>
              <w:spacing w:before="0"/>
              <w:jc w:val="center"/>
              <w:rPr>
                <w:color w:val="000000"/>
                <w:sz w:val="18"/>
                <w:szCs w:val="18"/>
              </w:rPr>
            </w:pPr>
            <w:r>
              <w:rPr>
                <w:color w:val="000000"/>
                <w:sz w:val="18"/>
                <w:szCs w:val="18"/>
              </w:rPr>
              <w:t>5,24%</w:t>
            </w:r>
          </w:p>
        </w:tc>
        <w:tc>
          <w:tcPr>
            <w:tcW w:w="955" w:type="dxa"/>
            <w:vAlign w:val="center"/>
          </w:tcPr>
          <w:p w14:paraId="60B0E643" w14:textId="77777777" w:rsidR="00DB48E0" w:rsidRDefault="00000000">
            <w:pPr>
              <w:spacing w:before="0"/>
              <w:jc w:val="center"/>
              <w:rPr>
                <w:color w:val="000000"/>
                <w:sz w:val="18"/>
                <w:szCs w:val="18"/>
              </w:rPr>
            </w:pPr>
            <w:r>
              <w:rPr>
                <w:color w:val="000000"/>
                <w:sz w:val="18"/>
                <w:szCs w:val="18"/>
              </w:rPr>
              <w:t>4,19%</w:t>
            </w:r>
          </w:p>
        </w:tc>
        <w:tc>
          <w:tcPr>
            <w:tcW w:w="892" w:type="dxa"/>
            <w:vAlign w:val="center"/>
          </w:tcPr>
          <w:p w14:paraId="7D7E9491" w14:textId="77777777" w:rsidR="00DB48E0" w:rsidRDefault="00000000">
            <w:pPr>
              <w:spacing w:before="0"/>
              <w:jc w:val="center"/>
              <w:rPr>
                <w:color w:val="000000"/>
                <w:sz w:val="18"/>
                <w:szCs w:val="18"/>
              </w:rPr>
            </w:pPr>
            <w:r>
              <w:rPr>
                <w:color w:val="000000"/>
                <w:sz w:val="18"/>
                <w:szCs w:val="18"/>
              </w:rPr>
              <w:t>4,88%</w:t>
            </w:r>
          </w:p>
        </w:tc>
        <w:tc>
          <w:tcPr>
            <w:tcW w:w="944" w:type="dxa"/>
            <w:vAlign w:val="center"/>
          </w:tcPr>
          <w:p w14:paraId="7C168505" w14:textId="77777777" w:rsidR="00DB48E0" w:rsidRDefault="00000000">
            <w:pPr>
              <w:spacing w:before="0"/>
              <w:jc w:val="center"/>
              <w:rPr>
                <w:color w:val="000000"/>
                <w:sz w:val="18"/>
                <w:szCs w:val="18"/>
              </w:rPr>
            </w:pPr>
            <w:r>
              <w:rPr>
                <w:color w:val="000000"/>
                <w:sz w:val="18"/>
                <w:szCs w:val="18"/>
              </w:rPr>
              <w:t>3,80%</w:t>
            </w:r>
          </w:p>
        </w:tc>
        <w:tc>
          <w:tcPr>
            <w:tcW w:w="1206" w:type="dxa"/>
            <w:vAlign w:val="center"/>
          </w:tcPr>
          <w:p w14:paraId="06FA04E2" w14:textId="77777777" w:rsidR="00DB48E0" w:rsidRDefault="00000000">
            <w:pPr>
              <w:spacing w:before="0"/>
              <w:jc w:val="center"/>
              <w:rPr>
                <w:color w:val="000000"/>
                <w:sz w:val="18"/>
                <w:szCs w:val="18"/>
              </w:rPr>
            </w:pPr>
            <w:r>
              <w:rPr>
                <w:color w:val="000000"/>
                <w:sz w:val="18"/>
                <w:szCs w:val="18"/>
              </w:rPr>
              <w:t>4,11%</w:t>
            </w:r>
          </w:p>
        </w:tc>
        <w:tc>
          <w:tcPr>
            <w:tcW w:w="892" w:type="dxa"/>
            <w:vAlign w:val="center"/>
          </w:tcPr>
          <w:p w14:paraId="409A1384" w14:textId="77777777" w:rsidR="00DB48E0" w:rsidRDefault="00000000">
            <w:pPr>
              <w:spacing w:before="0"/>
              <w:jc w:val="center"/>
              <w:rPr>
                <w:color w:val="000000"/>
                <w:sz w:val="18"/>
                <w:szCs w:val="18"/>
              </w:rPr>
            </w:pPr>
            <w:r>
              <w:rPr>
                <w:color w:val="000000"/>
                <w:sz w:val="18"/>
                <w:szCs w:val="18"/>
              </w:rPr>
              <w:t>3,23%</w:t>
            </w:r>
          </w:p>
        </w:tc>
      </w:tr>
      <w:tr w:rsidR="00DB48E0" w14:paraId="591E8579" w14:textId="77777777">
        <w:trPr>
          <w:trHeight w:val="170"/>
          <w:jc w:val="center"/>
        </w:trPr>
        <w:tc>
          <w:tcPr>
            <w:tcW w:w="1396" w:type="dxa"/>
            <w:vAlign w:val="center"/>
          </w:tcPr>
          <w:p w14:paraId="717621BD" w14:textId="77777777" w:rsidR="00DB48E0" w:rsidRDefault="00000000">
            <w:pPr>
              <w:spacing w:before="0"/>
            </w:pPr>
            <w:proofErr w:type="spellStart"/>
            <w:r>
              <w:t>Skewness</w:t>
            </w:r>
            <w:proofErr w:type="spellEnd"/>
          </w:p>
        </w:tc>
        <w:tc>
          <w:tcPr>
            <w:tcW w:w="1004" w:type="dxa"/>
            <w:vAlign w:val="center"/>
          </w:tcPr>
          <w:p w14:paraId="5BF93D47" w14:textId="77777777" w:rsidR="00DB48E0" w:rsidRDefault="00000000">
            <w:pPr>
              <w:spacing w:before="0"/>
              <w:jc w:val="center"/>
              <w:rPr>
                <w:color w:val="000000"/>
                <w:sz w:val="18"/>
                <w:szCs w:val="18"/>
              </w:rPr>
            </w:pPr>
            <w:r>
              <w:rPr>
                <w:color w:val="000000"/>
                <w:sz w:val="18"/>
                <w:szCs w:val="18"/>
              </w:rPr>
              <w:t>-0,64</w:t>
            </w:r>
          </w:p>
        </w:tc>
        <w:tc>
          <w:tcPr>
            <w:tcW w:w="894" w:type="dxa"/>
            <w:vAlign w:val="center"/>
          </w:tcPr>
          <w:p w14:paraId="03B0C31C" w14:textId="77777777" w:rsidR="00DB48E0" w:rsidRDefault="00000000">
            <w:pPr>
              <w:spacing w:before="0"/>
              <w:jc w:val="center"/>
              <w:rPr>
                <w:color w:val="000000"/>
                <w:sz w:val="18"/>
                <w:szCs w:val="18"/>
              </w:rPr>
            </w:pPr>
            <w:r>
              <w:rPr>
                <w:color w:val="000000"/>
                <w:sz w:val="18"/>
                <w:szCs w:val="18"/>
              </w:rPr>
              <w:t>-0,60</w:t>
            </w:r>
          </w:p>
        </w:tc>
        <w:tc>
          <w:tcPr>
            <w:tcW w:w="889" w:type="dxa"/>
            <w:vAlign w:val="center"/>
          </w:tcPr>
          <w:p w14:paraId="2F39B562" w14:textId="77777777" w:rsidR="00DB48E0" w:rsidRDefault="00000000">
            <w:pPr>
              <w:spacing w:before="0"/>
              <w:jc w:val="center"/>
              <w:rPr>
                <w:color w:val="000000"/>
                <w:sz w:val="18"/>
                <w:szCs w:val="18"/>
              </w:rPr>
            </w:pPr>
            <w:r>
              <w:rPr>
                <w:color w:val="000000"/>
                <w:sz w:val="18"/>
                <w:szCs w:val="18"/>
              </w:rPr>
              <w:t>-0,97</w:t>
            </w:r>
          </w:p>
        </w:tc>
        <w:tc>
          <w:tcPr>
            <w:tcW w:w="955" w:type="dxa"/>
            <w:vAlign w:val="center"/>
          </w:tcPr>
          <w:p w14:paraId="53F02A85" w14:textId="77777777" w:rsidR="00DB48E0" w:rsidRDefault="00000000">
            <w:pPr>
              <w:spacing w:before="0"/>
              <w:jc w:val="center"/>
              <w:rPr>
                <w:color w:val="000000"/>
                <w:sz w:val="18"/>
                <w:szCs w:val="18"/>
              </w:rPr>
            </w:pPr>
            <w:r>
              <w:rPr>
                <w:color w:val="000000"/>
                <w:sz w:val="18"/>
                <w:szCs w:val="18"/>
              </w:rPr>
              <w:t>-0,48</w:t>
            </w:r>
          </w:p>
        </w:tc>
        <w:tc>
          <w:tcPr>
            <w:tcW w:w="892" w:type="dxa"/>
            <w:vAlign w:val="center"/>
          </w:tcPr>
          <w:p w14:paraId="3F9C19D1" w14:textId="77777777" w:rsidR="00DB48E0" w:rsidRDefault="00000000">
            <w:pPr>
              <w:spacing w:before="0"/>
              <w:jc w:val="center"/>
              <w:rPr>
                <w:color w:val="000000"/>
                <w:sz w:val="18"/>
                <w:szCs w:val="18"/>
              </w:rPr>
            </w:pPr>
            <w:r>
              <w:rPr>
                <w:color w:val="000000"/>
                <w:sz w:val="18"/>
                <w:szCs w:val="18"/>
              </w:rPr>
              <w:t>-0,66</w:t>
            </w:r>
          </w:p>
        </w:tc>
        <w:tc>
          <w:tcPr>
            <w:tcW w:w="944" w:type="dxa"/>
            <w:vAlign w:val="center"/>
          </w:tcPr>
          <w:p w14:paraId="6297372C" w14:textId="77777777" w:rsidR="00DB48E0" w:rsidRDefault="00000000">
            <w:pPr>
              <w:spacing w:before="0"/>
              <w:jc w:val="center"/>
              <w:rPr>
                <w:color w:val="000000"/>
                <w:sz w:val="18"/>
                <w:szCs w:val="18"/>
              </w:rPr>
            </w:pPr>
            <w:r>
              <w:rPr>
                <w:color w:val="000000"/>
                <w:sz w:val="18"/>
                <w:szCs w:val="18"/>
              </w:rPr>
              <w:t>-0,44</w:t>
            </w:r>
          </w:p>
        </w:tc>
        <w:tc>
          <w:tcPr>
            <w:tcW w:w="1206" w:type="dxa"/>
            <w:vAlign w:val="center"/>
          </w:tcPr>
          <w:p w14:paraId="5E2C816D" w14:textId="77777777" w:rsidR="00DB48E0" w:rsidRDefault="00000000">
            <w:pPr>
              <w:spacing w:before="0"/>
              <w:jc w:val="center"/>
              <w:rPr>
                <w:color w:val="000000"/>
                <w:sz w:val="18"/>
                <w:szCs w:val="18"/>
              </w:rPr>
            </w:pPr>
            <w:r>
              <w:rPr>
                <w:color w:val="000000"/>
                <w:sz w:val="18"/>
                <w:szCs w:val="18"/>
              </w:rPr>
              <w:t>-0,39</w:t>
            </w:r>
          </w:p>
        </w:tc>
        <w:tc>
          <w:tcPr>
            <w:tcW w:w="892" w:type="dxa"/>
            <w:vAlign w:val="center"/>
          </w:tcPr>
          <w:p w14:paraId="6C6E28C2" w14:textId="77777777" w:rsidR="00DB48E0" w:rsidRDefault="00000000">
            <w:pPr>
              <w:spacing w:before="0"/>
              <w:jc w:val="center"/>
              <w:rPr>
                <w:color w:val="000000"/>
                <w:sz w:val="18"/>
                <w:szCs w:val="18"/>
              </w:rPr>
            </w:pPr>
            <w:r>
              <w:rPr>
                <w:color w:val="000000"/>
                <w:sz w:val="18"/>
                <w:szCs w:val="18"/>
              </w:rPr>
              <w:t>-0,77</w:t>
            </w:r>
          </w:p>
        </w:tc>
      </w:tr>
      <w:tr w:rsidR="00DB48E0" w14:paraId="2B1F9DAF" w14:textId="77777777">
        <w:trPr>
          <w:trHeight w:val="170"/>
          <w:jc w:val="center"/>
        </w:trPr>
        <w:tc>
          <w:tcPr>
            <w:tcW w:w="1396" w:type="dxa"/>
            <w:tcBorders>
              <w:bottom w:val="single" w:sz="4" w:space="0" w:color="000000"/>
            </w:tcBorders>
            <w:vAlign w:val="center"/>
          </w:tcPr>
          <w:p w14:paraId="02F35B7C" w14:textId="77777777" w:rsidR="00DB48E0" w:rsidRDefault="00000000">
            <w:pPr>
              <w:spacing w:before="0"/>
            </w:pPr>
            <w:r>
              <w:t>Kurtosis</w:t>
            </w:r>
          </w:p>
        </w:tc>
        <w:tc>
          <w:tcPr>
            <w:tcW w:w="1004" w:type="dxa"/>
            <w:tcBorders>
              <w:bottom w:val="single" w:sz="4" w:space="0" w:color="000000"/>
            </w:tcBorders>
            <w:vAlign w:val="center"/>
          </w:tcPr>
          <w:p w14:paraId="4D09666F" w14:textId="77777777" w:rsidR="00DB48E0" w:rsidRDefault="00000000">
            <w:pPr>
              <w:spacing w:before="0"/>
              <w:jc w:val="center"/>
              <w:rPr>
                <w:color w:val="000000"/>
                <w:sz w:val="18"/>
                <w:szCs w:val="18"/>
              </w:rPr>
            </w:pPr>
            <w:r>
              <w:rPr>
                <w:color w:val="000000"/>
                <w:sz w:val="18"/>
                <w:szCs w:val="18"/>
              </w:rPr>
              <w:t>1,36</w:t>
            </w:r>
          </w:p>
        </w:tc>
        <w:tc>
          <w:tcPr>
            <w:tcW w:w="894" w:type="dxa"/>
            <w:tcBorders>
              <w:bottom w:val="single" w:sz="4" w:space="0" w:color="000000"/>
            </w:tcBorders>
            <w:vAlign w:val="center"/>
          </w:tcPr>
          <w:p w14:paraId="7CAB879D" w14:textId="77777777" w:rsidR="00DB48E0" w:rsidRDefault="00000000">
            <w:pPr>
              <w:spacing w:before="0"/>
              <w:jc w:val="center"/>
              <w:rPr>
                <w:color w:val="000000"/>
                <w:sz w:val="18"/>
                <w:szCs w:val="18"/>
              </w:rPr>
            </w:pPr>
            <w:r>
              <w:rPr>
                <w:color w:val="000000"/>
                <w:sz w:val="18"/>
                <w:szCs w:val="18"/>
              </w:rPr>
              <w:t>1,30</w:t>
            </w:r>
          </w:p>
        </w:tc>
        <w:tc>
          <w:tcPr>
            <w:tcW w:w="889" w:type="dxa"/>
            <w:tcBorders>
              <w:bottom w:val="single" w:sz="4" w:space="0" w:color="000000"/>
            </w:tcBorders>
            <w:vAlign w:val="center"/>
          </w:tcPr>
          <w:p w14:paraId="5B7E9A54" w14:textId="77777777" w:rsidR="00DB48E0" w:rsidRDefault="00000000">
            <w:pPr>
              <w:spacing w:before="0"/>
              <w:jc w:val="center"/>
              <w:rPr>
                <w:color w:val="000000"/>
                <w:sz w:val="18"/>
                <w:szCs w:val="18"/>
              </w:rPr>
            </w:pPr>
            <w:r>
              <w:rPr>
                <w:color w:val="000000"/>
                <w:sz w:val="18"/>
                <w:szCs w:val="18"/>
              </w:rPr>
              <w:t>3,24</w:t>
            </w:r>
          </w:p>
        </w:tc>
        <w:tc>
          <w:tcPr>
            <w:tcW w:w="955" w:type="dxa"/>
            <w:tcBorders>
              <w:bottom w:val="single" w:sz="4" w:space="0" w:color="000000"/>
            </w:tcBorders>
            <w:vAlign w:val="center"/>
          </w:tcPr>
          <w:p w14:paraId="22F371F1" w14:textId="77777777" w:rsidR="00DB48E0" w:rsidRDefault="00000000">
            <w:pPr>
              <w:spacing w:before="0"/>
              <w:jc w:val="center"/>
              <w:rPr>
                <w:color w:val="000000"/>
                <w:sz w:val="18"/>
                <w:szCs w:val="18"/>
              </w:rPr>
            </w:pPr>
            <w:r>
              <w:rPr>
                <w:color w:val="000000"/>
                <w:sz w:val="18"/>
                <w:szCs w:val="18"/>
              </w:rPr>
              <w:t>0,63</w:t>
            </w:r>
          </w:p>
        </w:tc>
        <w:tc>
          <w:tcPr>
            <w:tcW w:w="892" w:type="dxa"/>
            <w:tcBorders>
              <w:bottom w:val="single" w:sz="4" w:space="0" w:color="000000"/>
            </w:tcBorders>
            <w:vAlign w:val="center"/>
          </w:tcPr>
          <w:p w14:paraId="7066F3D4" w14:textId="77777777" w:rsidR="00DB48E0" w:rsidRDefault="00000000">
            <w:pPr>
              <w:spacing w:before="0"/>
              <w:jc w:val="center"/>
              <w:rPr>
                <w:color w:val="000000"/>
                <w:sz w:val="18"/>
                <w:szCs w:val="18"/>
              </w:rPr>
            </w:pPr>
            <w:r>
              <w:rPr>
                <w:color w:val="000000"/>
                <w:sz w:val="18"/>
                <w:szCs w:val="18"/>
              </w:rPr>
              <w:t>2,54</w:t>
            </w:r>
          </w:p>
        </w:tc>
        <w:tc>
          <w:tcPr>
            <w:tcW w:w="944" w:type="dxa"/>
            <w:tcBorders>
              <w:bottom w:val="single" w:sz="4" w:space="0" w:color="000000"/>
            </w:tcBorders>
            <w:vAlign w:val="center"/>
          </w:tcPr>
          <w:p w14:paraId="38A4FE95" w14:textId="77777777" w:rsidR="00DB48E0" w:rsidRDefault="00000000">
            <w:pPr>
              <w:spacing w:before="0"/>
              <w:jc w:val="center"/>
              <w:rPr>
                <w:color w:val="000000"/>
                <w:sz w:val="18"/>
                <w:szCs w:val="18"/>
              </w:rPr>
            </w:pPr>
            <w:r>
              <w:rPr>
                <w:color w:val="000000"/>
                <w:sz w:val="18"/>
                <w:szCs w:val="18"/>
              </w:rPr>
              <w:t>0,53</w:t>
            </w:r>
          </w:p>
        </w:tc>
        <w:tc>
          <w:tcPr>
            <w:tcW w:w="1206" w:type="dxa"/>
            <w:tcBorders>
              <w:bottom w:val="single" w:sz="4" w:space="0" w:color="000000"/>
            </w:tcBorders>
            <w:vAlign w:val="center"/>
          </w:tcPr>
          <w:p w14:paraId="2CC769A1" w14:textId="77777777" w:rsidR="00DB48E0" w:rsidRDefault="00000000">
            <w:pPr>
              <w:spacing w:before="0"/>
              <w:jc w:val="center"/>
              <w:rPr>
                <w:color w:val="000000"/>
                <w:sz w:val="18"/>
                <w:szCs w:val="18"/>
              </w:rPr>
            </w:pPr>
            <w:r>
              <w:rPr>
                <w:color w:val="000000"/>
                <w:sz w:val="18"/>
                <w:szCs w:val="18"/>
              </w:rPr>
              <w:t>2,02</w:t>
            </w:r>
          </w:p>
        </w:tc>
        <w:tc>
          <w:tcPr>
            <w:tcW w:w="892" w:type="dxa"/>
            <w:tcBorders>
              <w:bottom w:val="single" w:sz="4" w:space="0" w:color="000000"/>
            </w:tcBorders>
            <w:vAlign w:val="center"/>
          </w:tcPr>
          <w:p w14:paraId="792C149C" w14:textId="77777777" w:rsidR="00DB48E0" w:rsidRDefault="00000000">
            <w:pPr>
              <w:spacing w:before="0"/>
              <w:jc w:val="center"/>
              <w:rPr>
                <w:color w:val="000000"/>
                <w:sz w:val="18"/>
                <w:szCs w:val="18"/>
              </w:rPr>
            </w:pPr>
            <w:r>
              <w:rPr>
                <w:color w:val="000000"/>
                <w:sz w:val="18"/>
                <w:szCs w:val="18"/>
              </w:rPr>
              <w:t>1,20</w:t>
            </w:r>
          </w:p>
        </w:tc>
      </w:tr>
    </w:tbl>
    <w:p w14:paraId="76F10389" w14:textId="77777777" w:rsidR="00DB48E0" w:rsidRDefault="00000000">
      <w:pPr>
        <w:spacing w:after="240"/>
      </w:pPr>
      <w:r>
        <w:t>Source : auteurs, mars 2025.</w:t>
      </w:r>
    </w:p>
    <w:p w14:paraId="17218B1E" w14:textId="77777777" w:rsidR="00DB48E0" w:rsidRDefault="00000000">
      <w:r>
        <w:t xml:space="preserve">Les styles </w:t>
      </w:r>
      <w:proofErr w:type="spellStart"/>
      <w:r>
        <w:t>momentum</w:t>
      </w:r>
      <w:proofErr w:type="spellEnd"/>
      <w:r>
        <w:t xml:space="preserve"> et </w:t>
      </w:r>
      <w:proofErr w:type="spellStart"/>
      <w:r>
        <w:t>small</w:t>
      </w:r>
      <w:proofErr w:type="spellEnd"/>
      <w:r>
        <w:t xml:space="preserve"> affichent l’espérance la plus élevée, suggérant une surperformance sur la période d’étude. En revanche, les styles value et </w:t>
      </w:r>
      <w:proofErr w:type="spellStart"/>
      <w:r>
        <w:t>growth</w:t>
      </w:r>
      <w:proofErr w:type="spellEnd"/>
      <w:r>
        <w:t xml:space="preserve"> ont des espérances inférieures au marché.</w:t>
      </w:r>
    </w:p>
    <w:p w14:paraId="7CE2CA8C" w14:textId="77777777" w:rsidR="00DB48E0" w:rsidRDefault="00000000">
      <w:r>
        <w:t xml:space="preserve">Les moyennes et les médianes des différents styles et du marché tendent vers 0, caractérisant la stationnarité des rentabilités. </w:t>
      </w:r>
    </w:p>
    <w:p w14:paraId="23815618" w14:textId="77777777" w:rsidR="00DB48E0" w:rsidRDefault="00000000">
      <w:r>
        <w:t xml:space="preserve">En termes d’écart-type, les petites capitalisations émergent comme étant les plus volatiles. Seul ce style et le style value présentent un écart-type supérieur au marché. Au contraire, le style </w:t>
      </w:r>
      <w:proofErr w:type="spellStart"/>
      <w:r>
        <w:t>low</w:t>
      </w:r>
      <w:proofErr w:type="spellEnd"/>
      <w:r>
        <w:t xml:space="preserve"> vol est, comme attendu, le moins volatile.  </w:t>
      </w:r>
    </w:p>
    <w:p w14:paraId="33D0ACAA" w14:textId="77777777" w:rsidR="00DB48E0" w:rsidRDefault="00000000">
      <w:r>
        <w:t xml:space="preserve">Tous les styles d'investissement analysés présentent une </w:t>
      </w:r>
      <w:proofErr w:type="spellStart"/>
      <w:r>
        <w:t>leptokurticité</w:t>
      </w:r>
      <w:proofErr w:type="spellEnd"/>
      <w:r>
        <w:t>, caractérisée par une asymétrie négative (</w:t>
      </w:r>
      <w:proofErr w:type="spellStart"/>
      <w:r>
        <w:t>skewness</w:t>
      </w:r>
      <w:proofErr w:type="spellEnd"/>
      <w:r>
        <w:t xml:space="preserve"> négatif) et un excès de kurtosis positif. Graphiquement, cette propriété se manifeste par </w:t>
      </w:r>
      <w:r>
        <w:lastRenderedPageBreak/>
        <w:t xml:space="preserve">des distributions de rendements avec des queues plus épaisses que celles d'une distribution normale standard, ainsi qu'une asymétrie vers la gauche. Cette caractéristique indique une prépondérance de rendements négatifs par rapport aux rendements positifs, soulignant ainsi un risque accru de pertes importantes. </w:t>
      </w:r>
    </w:p>
    <w:p w14:paraId="5E221406" w14:textId="2817ABC0" w:rsidR="00DB48E0" w:rsidRDefault="00000000">
      <w:r>
        <w:t>Pour obtenir des éclairages précis et utiles sur l’évolution des styles d'investissements de 1999 à 2024, nous subdivisions cette période en 7 sous-périodes caractérisées par des conditions de marchés et économiques spécifiques.</w:t>
      </w:r>
      <w:bookmarkStart w:id="7" w:name="_heading=h.mzxk839fxnpd" w:colFirst="0" w:colLast="0"/>
      <w:bookmarkEnd w:id="7"/>
    </w:p>
    <w:p w14:paraId="5C671926" w14:textId="1B28389C" w:rsidR="00DB48E0" w:rsidRDefault="00A27748" w:rsidP="00A27748">
      <w:pPr>
        <w:pStyle w:val="Lgende"/>
        <w:rPr>
          <w:b w:val="0"/>
          <w:color w:val="000000"/>
        </w:rPr>
      </w:pPr>
      <w:bookmarkStart w:id="8" w:name="_Toc194078593"/>
      <w:r>
        <w:t xml:space="preserve">Tableau </w:t>
      </w:r>
      <w:fldSimple w:instr=" SEQ Tableau \* ARABIC ">
        <w:r w:rsidR="004D7D3B">
          <w:rPr>
            <w:noProof/>
          </w:rPr>
          <w:t>3</w:t>
        </w:r>
      </w:fldSimple>
      <w:r>
        <w:rPr>
          <w:color w:val="000000"/>
        </w:rPr>
        <w:t>. Les sous-périodes</w:t>
      </w:r>
      <w:bookmarkEnd w:id="8"/>
    </w:p>
    <w:tbl>
      <w:tblPr>
        <w:tblStyle w:val="a1"/>
        <w:tblW w:w="748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3118"/>
        <w:gridCol w:w="397"/>
        <w:gridCol w:w="3572"/>
        <w:gridCol w:w="397"/>
      </w:tblGrid>
      <w:tr w:rsidR="00DB48E0" w14:paraId="4D8390F4" w14:textId="77777777">
        <w:trPr>
          <w:gridAfter w:val="1"/>
          <w:wAfter w:w="397" w:type="dxa"/>
          <w:jc w:val="center"/>
        </w:trPr>
        <w:tc>
          <w:tcPr>
            <w:tcW w:w="3118" w:type="dxa"/>
            <w:tcBorders>
              <w:top w:val="single" w:sz="4" w:space="0" w:color="000000"/>
              <w:bottom w:val="single" w:sz="4" w:space="0" w:color="000000"/>
            </w:tcBorders>
          </w:tcPr>
          <w:p w14:paraId="7A3CA104" w14:textId="77777777" w:rsidR="00DB48E0" w:rsidRDefault="00000000">
            <w:r>
              <w:t>Sous-périodes</w:t>
            </w:r>
          </w:p>
        </w:tc>
        <w:tc>
          <w:tcPr>
            <w:tcW w:w="3969" w:type="dxa"/>
            <w:gridSpan w:val="2"/>
            <w:tcBorders>
              <w:top w:val="single" w:sz="4" w:space="0" w:color="000000"/>
              <w:bottom w:val="single" w:sz="4" w:space="0" w:color="000000"/>
            </w:tcBorders>
          </w:tcPr>
          <w:p w14:paraId="02FA0AF8" w14:textId="77777777" w:rsidR="00DB48E0" w:rsidRDefault="00000000">
            <w:pPr>
              <w:jc w:val="center"/>
            </w:pPr>
            <w:r>
              <w:t>Dates</w:t>
            </w:r>
          </w:p>
        </w:tc>
      </w:tr>
      <w:tr w:rsidR="00DB48E0" w14:paraId="1359F0CB" w14:textId="77777777">
        <w:trPr>
          <w:trHeight w:val="170"/>
          <w:jc w:val="center"/>
        </w:trPr>
        <w:tc>
          <w:tcPr>
            <w:tcW w:w="3515" w:type="dxa"/>
            <w:gridSpan w:val="2"/>
            <w:tcBorders>
              <w:top w:val="single" w:sz="4" w:space="0" w:color="000000"/>
            </w:tcBorders>
            <w:vAlign w:val="center"/>
          </w:tcPr>
          <w:p w14:paraId="4B5CB7B6" w14:textId="77777777" w:rsidR="00DB48E0" w:rsidRDefault="00000000">
            <w:r>
              <w:t>Bulle internet</w:t>
            </w:r>
          </w:p>
        </w:tc>
        <w:tc>
          <w:tcPr>
            <w:tcW w:w="3969" w:type="dxa"/>
            <w:gridSpan w:val="2"/>
            <w:tcBorders>
              <w:top w:val="single" w:sz="4" w:space="0" w:color="000000"/>
            </w:tcBorders>
            <w:vAlign w:val="center"/>
          </w:tcPr>
          <w:p w14:paraId="3F008E25" w14:textId="77777777" w:rsidR="00DB48E0" w:rsidRDefault="00000000">
            <w:pPr>
              <w:jc w:val="center"/>
              <w:rPr>
                <w:color w:val="000000"/>
              </w:rPr>
            </w:pPr>
            <w:r>
              <w:t>31 décembre</w:t>
            </w:r>
            <w:r>
              <w:rPr>
                <w:color w:val="000000"/>
              </w:rPr>
              <w:t xml:space="preserve"> 1998 – 31 </w:t>
            </w:r>
            <w:r>
              <w:t xml:space="preserve">décembre </w:t>
            </w:r>
            <w:r>
              <w:rPr>
                <w:color w:val="000000"/>
              </w:rPr>
              <w:t>2003</w:t>
            </w:r>
          </w:p>
        </w:tc>
      </w:tr>
      <w:tr w:rsidR="00DB48E0" w14:paraId="31DB87B2" w14:textId="77777777">
        <w:trPr>
          <w:trHeight w:val="170"/>
          <w:jc w:val="center"/>
        </w:trPr>
        <w:tc>
          <w:tcPr>
            <w:tcW w:w="3515" w:type="dxa"/>
            <w:gridSpan w:val="2"/>
            <w:vAlign w:val="center"/>
          </w:tcPr>
          <w:p w14:paraId="7C775CEE" w14:textId="77777777" w:rsidR="00DB48E0" w:rsidRDefault="00000000">
            <w:pPr>
              <w:spacing w:before="0"/>
            </w:pPr>
            <w:r>
              <w:t>Milieu des années 2000</w:t>
            </w:r>
          </w:p>
        </w:tc>
        <w:tc>
          <w:tcPr>
            <w:tcW w:w="3969" w:type="dxa"/>
            <w:gridSpan w:val="2"/>
            <w:vAlign w:val="center"/>
          </w:tcPr>
          <w:p w14:paraId="0A3517B7" w14:textId="77777777" w:rsidR="00DB48E0" w:rsidRDefault="00000000">
            <w:pPr>
              <w:spacing w:before="0"/>
              <w:jc w:val="center"/>
              <w:rPr>
                <w:color w:val="000000"/>
              </w:rPr>
            </w:pPr>
            <w:r>
              <w:rPr>
                <w:color w:val="000000"/>
              </w:rPr>
              <w:t xml:space="preserve">31 </w:t>
            </w:r>
            <w:r>
              <w:t xml:space="preserve">décembre </w:t>
            </w:r>
            <w:r>
              <w:rPr>
                <w:color w:val="000000"/>
              </w:rPr>
              <w:t xml:space="preserve">2003 – 31 </w:t>
            </w:r>
            <w:r>
              <w:t xml:space="preserve">décembre </w:t>
            </w:r>
            <w:r>
              <w:rPr>
                <w:color w:val="000000"/>
              </w:rPr>
              <w:t>2007</w:t>
            </w:r>
          </w:p>
        </w:tc>
      </w:tr>
      <w:tr w:rsidR="00DB48E0" w14:paraId="4C224CDB" w14:textId="77777777">
        <w:trPr>
          <w:trHeight w:val="170"/>
          <w:jc w:val="center"/>
        </w:trPr>
        <w:tc>
          <w:tcPr>
            <w:tcW w:w="3515" w:type="dxa"/>
            <w:gridSpan w:val="2"/>
            <w:vAlign w:val="center"/>
          </w:tcPr>
          <w:p w14:paraId="4DF184B1" w14:textId="77777777" w:rsidR="00DB48E0" w:rsidRDefault="00000000">
            <w:pPr>
              <w:spacing w:before="0"/>
            </w:pPr>
            <w:r>
              <w:t xml:space="preserve">Crise des </w:t>
            </w:r>
            <w:proofErr w:type="spellStart"/>
            <w:r>
              <w:t>subprimes</w:t>
            </w:r>
            <w:proofErr w:type="spellEnd"/>
          </w:p>
        </w:tc>
        <w:tc>
          <w:tcPr>
            <w:tcW w:w="3969" w:type="dxa"/>
            <w:gridSpan w:val="2"/>
            <w:vAlign w:val="center"/>
          </w:tcPr>
          <w:p w14:paraId="457C49A6" w14:textId="77777777" w:rsidR="00DB48E0" w:rsidRDefault="00000000">
            <w:pPr>
              <w:spacing w:before="0"/>
              <w:jc w:val="center"/>
              <w:rPr>
                <w:color w:val="000000"/>
              </w:rPr>
            </w:pPr>
            <w:r>
              <w:rPr>
                <w:color w:val="000000"/>
              </w:rPr>
              <w:t xml:space="preserve">31 </w:t>
            </w:r>
            <w:r>
              <w:t xml:space="preserve">décembre </w:t>
            </w:r>
            <w:r>
              <w:rPr>
                <w:color w:val="000000"/>
              </w:rPr>
              <w:t xml:space="preserve">2007 – 31 </w:t>
            </w:r>
            <w:r>
              <w:t xml:space="preserve">décembre </w:t>
            </w:r>
            <w:r>
              <w:rPr>
                <w:color w:val="000000"/>
              </w:rPr>
              <w:t>2009</w:t>
            </w:r>
          </w:p>
        </w:tc>
      </w:tr>
      <w:tr w:rsidR="00DB48E0" w14:paraId="3739B46E" w14:textId="77777777">
        <w:trPr>
          <w:trHeight w:val="170"/>
          <w:jc w:val="center"/>
        </w:trPr>
        <w:tc>
          <w:tcPr>
            <w:tcW w:w="3515" w:type="dxa"/>
            <w:gridSpan w:val="2"/>
            <w:vAlign w:val="center"/>
          </w:tcPr>
          <w:p w14:paraId="5AEB4872" w14:textId="77777777" w:rsidR="00DB48E0" w:rsidRDefault="00000000">
            <w:pPr>
              <w:spacing w:before="0"/>
            </w:pPr>
            <w:r>
              <w:t>Crise des dettes souveraines</w:t>
            </w:r>
          </w:p>
        </w:tc>
        <w:tc>
          <w:tcPr>
            <w:tcW w:w="3969" w:type="dxa"/>
            <w:gridSpan w:val="2"/>
            <w:vAlign w:val="center"/>
          </w:tcPr>
          <w:p w14:paraId="0F4723EB" w14:textId="77777777" w:rsidR="00DB48E0" w:rsidRDefault="00000000">
            <w:pPr>
              <w:spacing w:before="0"/>
              <w:jc w:val="center"/>
              <w:rPr>
                <w:color w:val="000000"/>
              </w:rPr>
            </w:pPr>
            <w:r>
              <w:rPr>
                <w:color w:val="000000"/>
              </w:rPr>
              <w:t xml:space="preserve">31 </w:t>
            </w:r>
            <w:r>
              <w:t xml:space="preserve">décembre </w:t>
            </w:r>
            <w:r>
              <w:rPr>
                <w:color w:val="000000"/>
              </w:rPr>
              <w:t>2009 – 31 décembre 2012</w:t>
            </w:r>
          </w:p>
        </w:tc>
      </w:tr>
      <w:tr w:rsidR="00DB48E0" w14:paraId="34879F20" w14:textId="77777777">
        <w:trPr>
          <w:trHeight w:val="170"/>
          <w:jc w:val="center"/>
        </w:trPr>
        <w:tc>
          <w:tcPr>
            <w:tcW w:w="3515" w:type="dxa"/>
            <w:gridSpan w:val="2"/>
            <w:vAlign w:val="center"/>
          </w:tcPr>
          <w:p w14:paraId="3BCBB36E" w14:textId="77777777" w:rsidR="00DB48E0" w:rsidRDefault="00000000">
            <w:pPr>
              <w:spacing w:before="0"/>
            </w:pPr>
            <w:bookmarkStart w:id="9" w:name="_heading=h.e54i46u5v2tz" w:colFirst="0" w:colLast="0"/>
            <w:bookmarkEnd w:id="9"/>
            <w:r>
              <w:t>Reprise et expansion des années 2010</w:t>
            </w:r>
          </w:p>
        </w:tc>
        <w:tc>
          <w:tcPr>
            <w:tcW w:w="3969" w:type="dxa"/>
            <w:gridSpan w:val="2"/>
            <w:vAlign w:val="center"/>
          </w:tcPr>
          <w:p w14:paraId="10AF6A24" w14:textId="77777777" w:rsidR="00DB48E0" w:rsidRDefault="00000000">
            <w:pPr>
              <w:spacing w:before="0"/>
              <w:jc w:val="center"/>
              <w:rPr>
                <w:color w:val="000000"/>
              </w:rPr>
            </w:pPr>
            <w:r>
              <w:rPr>
                <w:color w:val="000000"/>
              </w:rPr>
              <w:t>31 décembre 2012 – 31 décembre 2019</w:t>
            </w:r>
          </w:p>
        </w:tc>
      </w:tr>
      <w:tr w:rsidR="00DB48E0" w14:paraId="21CB4CBF" w14:textId="77777777">
        <w:trPr>
          <w:trHeight w:val="170"/>
          <w:jc w:val="center"/>
        </w:trPr>
        <w:tc>
          <w:tcPr>
            <w:tcW w:w="3515" w:type="dxa"/>
            <w:gridSpan w:val="2"/>
            <w:vAlign w:val="center"/>
          </w:tcPr>
          <w:p w14:paraId="51F0635E" w14:textId="77777777" w:rsidR="00DB48E0" w:rsidRDefault="00000000">
            <w:pPr>
              <w:spacing w:before="0"/>
            </w:pPr>
            <w:bookmarkStart w:id="10" w:name="_heading=h.48cfke52k4t" w:colFirst="0" w:colLast="0"/>
            <w:bookmarkEnd w:id="10"/>
            <w:r>
              <w:t>Pandémie de COVID-19</w:t>
            </w:r>
          </w:p>
        </w:tc>
        <w:tc>
          <w:tcPr>
            <w:tcW w:w="3969" w:type="dxa"/>
            <w:gridSpan w:val="2"/>
            <w:vAlign w:val="center"/>
          </w:tcPr>
          <w:p w14:paraId="0E20F7B3" w14:textId="77777777" w:rsidR="00DB48E0" w:rsidRDefault="00000000">
            <w:pPr>
              <w:spacing w:before="0"/>
              <w:jc w:val="center"/>
              <w:rPr>
                <w:color w:val="000000"/>
              </w:rPr>
            </w:pPr>
            <w:r>
              <w:rPr>
                <w:color w:val="000000"/>
              </w:rPr>
              <w:t>31 décembre 2019 – 31 décembre 2021</w:t>
            </w:r>
          </w:p>
        </w:tc>
      </w:tr>
      <w:tr w:rsidR="00DB48E0" w14:paraId="425C4989" w14:textId="77777777">
        <w:trPr>
          <w:trHeight w:val="170"/>
          <w:jc w:val="center"/>
        </w:trPr>
        <w:tc>
          <w:tcPr>
            <w:tcW w:w="3515" w:type="dxa"/>
            <w:gridSpan w:val="2"/>
            <w:tcBorders>
              <w:bottom w:val="single" w:sz="4" w:space="0" w:color="000000"/>
            </w:tcBorders>
            <w:vAlign w:val="center"/>
          </w:tcPr>
          <w:p w14:paraId="0F4BF024" w14:textId="77777777" w:rsidR="00DB48E0" w:rsidRDefault="00000000">
            <w:pPr>
              <w:spacing w:before="0"/>
            </w:pPr>
            <w:bookmarkStart w:id="11" w:name="_heading=h.w4o8qxngkm7r" w:colFirst="0" w:colLast="0"/>
            <w:bookmarkEnd w:id="11"/>
            <w:r>
              <w:t>Post COVID-19</w:t>
            </w:r>
          </w:p>
        </w:tc>
        <w:tc>
          <w:tcPr>
            <w:tcW w:w="3969" w:type="dxa"/>
            <w:gridSpan w:val="2"/>
            <w:tcBorders>
              <w:bottom w:val="single" w:sz="4" w:space="0" w:color="000000"/>
            </w:tcBorders>
            <w:vAlign w:val="center"/>
          </w:tcPr>
          <w:p w14:paraId="6F4843C2" w14:textId="77777777" w:rsidR="00DB48E0" w:rsidRDefault="00000000">
            <w:pPr>
              <w:spacing w:before="0"/>
              <w:jc w:val="center"/>
              <w:rPr>
                <w:color w:val="000000"/>
              </w:rPr>
            </w:pPr>
            <w:r>
              <w:rPr>
                <w:color w:val="000000"/>
              </w:rPr>
              <w:t>31 décembre 2021 – 31 décembre 2024</w:t>
            </w:r>
          </w:p>
        </w:tc>
      </w:tr>
    </w:tbl>
    <w:p w14:paraId="697DE183" w14:textId="77777777" w:rsidR="00DB48E0" w:rsidRDefault="00000000">
      <w:pPr>
        <w:spacing w:after="240"/>
      </w:pPr>
      <w:r>
        <w:t>Source : auteurs, mars 2025.</w:t>
      </w:r>
    </w:p>
    <w:p w14:paraId="1D414924" w14:textId="77777777" w:rsidR="00DB48E0" w:rsidRDefault="00000000">
      <w:pPr>
        <w:pStyle w:val="Titre2"/>
        <w:ind w:left="576" w:hanging="576"/>
      </w:pPr>
      <w:bookmarkStart w:id="12" w:name="_Toc194078561"/>
      <w:r>
        <w:t>Méthodologie</w:t>
      </w:r>
      <w:bookmarkEnd w:id="12"/>
    </w:p>
    <w:p w14:paraId="6C9FA8CA" w14:textId="77777777" w:rsidR="00DB48E0" w:rsidRDefault="00000000">
      <w:r>
        <w:t>Pour réaliser notre analyse et en tirer tous les enseignements utiles et éclairants, nous nous appuyons sur plusieurs indicateurs financiers clés et le modèle à 5 facteurs de Fama et French.</w:t>
      </w:r>
    </w:p>
    <w:p w14:paraId="441B4EDC" w14:textId="77777777" w:rsidR="00DB48E0" w:rsidRDefault="00000000">
      <w:pPr>
        <w:pStyle w:val="Titre3"/>
      </w:pPr>
      <w:bookmarkStart w:id="13" w:name="_Toc194078562"/>
      <w:r>
        <w:t>La rentabilité</w:t>
      </w:r>
      <w:bookmarkEnd w:id="13"/>
    </w:p>
    <w:p w14:paraId="66AD22F7" w14:textId="77777777" w:rsidR="00DB48E0" w:rsidRDefault="00000000">
      <w:pPr>
        <w:rPr>
          <w:b/>
        </w:rPr>
      </w:pPr>
      <w:r>
        <w:t xml:space="preserve">Dans le cadre de cette étude, nous retenons la rentabilité logarithmique comme mesure de la rentabilité des indices. La rentabilité logarithmique d’un actif financier mesure l'évolution relative du prix de cet actif sur une période donnée, en utilisant le logarithme naturel. </w:t>
      </w:r>
    </w:p>
    <w:p w14:paraId="1B233DCB" w14:textId="77777777" w:rsidR="00DB48E0" w:rsidRDefault="00000000">
      <w:r>
        <w:t>Si P</w:t>
      </w:r>
      <w:r>
        <w:rPr>
          <w:vertAlign w:val="subscript"/>
        </w:rPr>
        <w:t>t</w:t>
      </w:r>
      <w:r>
        <w:t xml:space="preserve"> représente le prix du titre à l’instant t et P</w:t>
      </w:r>
      <w:r>
        <w:rPr>
          <w:vertAlign w:val="subscript"/>
        </w:rPr>
        <w:t>t-1</w:t>
      </w:r>
      <w:r>
        <w:t xml:space="preserve">​ son prix à l’instant t-1, alors la rentabilité logarithmique </w:t>
      </w:r>
      <w:proofErr w:type="spellStart"/>
      <w:proofErr w:type="gramStart"/>
      <w:r>
        <w:t>r</w:t>
      </w:r>
      <w:r>
        <w:rPr>
          <w:vertAlign w:val="subscript"/>
        </w:rPr>
        <w:t>t</w:t>
      </w:r>
      <w:proofErr w:type="spellEnd"/>
      <w:r>
        <w:t xml:space="preserve">  est</w:t>
      </w:r>
      <w:proofErr w:type="gramEnd"/>
      <w:r>
        <w:t xml:space="preserve"> donnée par :</w:t>
      </w:r>
    </w:p>
    <w:p w14:paraId="320642FA" w14:textId="77777777" w:rsidR="00DB48E0" w:rsidRDefault="00000000">
      <w:pPr>
        <w:jc w:val="center"/>
      </w:pPr>
      <m:oMathPara>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t</m:t>
              </m:r>
            </m:sub>
          </m:sSub>
          <m:r>
            <w:rPr>
              <w:rFonts w:ascii="Cambria Math" w:eastAsia="Cambria Math" w:hAnsi="Cambria Math" w:cs="Cambria Math"/>
            </w:rPr>
            <m:t>=ln(</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t</m:t>
                  </m:r>
                </m:sub>
              </m:sSub>
            </m:num>
            <m:den>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t-1</m:t>
                  </m:r>
                </m:sub>
              </m:sSub>
            </m:den>
          </m:f>
          <m:r>
            <w:rPr>
              <w:rFonts w:ascii="Cambria Math" w:eastAsia="Cambria Math" w:hAnsi="Cambria Math" w:cs="Cambria Math"/>
            </w:rPr>
            <m:t>)</m:t>
          </m:r>
          <m:r>
            <w:rPr>
              <w:rFonts w:ascii="Cambria Math" w:hAnsi="Cambria Math"/>
            </w:rPr>
            <m:t xml:space="preserve"> </m:t>
          </m:r>
        </m:oMath>
      </m:oMathPara>
    </w:p>
    <w:p w14:paraId="35444D6F" w14:textId="77777777" w:rsidR="00DB48E0" w:rsidRDefault="00000000">
      <w:r>
        <w:t>Dans le cas de notre étude, nous traitons des rentabilités mensuelles. Pour permettre une comparaison entre les styles et les périodes, il convient d’annualiser ces rentabilités mensuelles.</w:t>
      </w:r>
    </w:p>
    <w:p w14:paraId="185B6249" w14:textId="674BF5FC" w:rsidR="00DB48E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annuelle</m:t>
              </m:r>
            </m:sub>
          </m:sSub>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 xml:space="preserve">(1+ </m:t>
              </m:r>
              <m:sSub>
                <m:sSubPr>
                  <m:ctrlPr>
                    <w:rPr>
                      <w:rFonts w:ascii="Cambria Math" w:eastAsia="Cambria Math" w:hAnsi="Cambria Math" w:cs="Cambria Math"/>
                    </w:rPr>
                  </m:ctrlPr>
                </m:sSubPr>
                <m:e>
                  <m:acc>
                    <m:accPr>
                      <m:chr m:val="̅"/>
                      <m:ctrlPr>
                        <w:rPr>
                          <w:rFonts w:ascii="Cambria Math" w:eastAsia="Cambria Math" w:hAnsi="Cambria Math" w:cs="Cambria Math"/>
                          <w:i/>
                        </w:rPr>
                      </m:ctrlPr>
                    </m:accPr>
                    <m:e>
                      <m:r>
                        <w:rPr>
                          <w:rFonts w:ascii="Cambria Math" w:eastAsia="Cambria Math" w:hAnsi="Cambria Math" w:cs="Cambria Math"/>
                        </w:rPr>
                        <m:t>r</m:t>
                      </m:r>
                    </m:e>
                  </m:acc>
                </m:e>
                <m:sub>
                  <m:r>
                    <w:rPr>
                      <w:rFonts w:ascii="Cambria Math" w:eastAsia="Cambria Math" w:hAnsi="Cambria Math" w:cs="Cambria Math"/>
                    </w:rPr>
                    <m:t>mensuelle</m:t>
                  </m:r>
                </m:sub>
              </m:sSub>
              <m:r>
                <w:rPr>
                  <w:rFonts w:ascii="Cambria Math" w:eastAsia="Cambria Math" w:hAnsi="Cambria Math" w:cs="Cambria Math"/>
                </w:rPr>
                <m:t>)</m:t>
              </m:r>
            </m:e>
            <m:sup>
              <m:r>
                <w:rPr>
                  <w:rFonts w:ascii="Cambria Math" w:eastAsia="Cambria Math" w:hAnsi="Cambria Math" w:cs="Cambria Math"/>
                </w:rPr>
                <m:t>12</m:t>
              </m:r>
            </m:sup>
          </m:sSup>
          <m:r>
            <w:rPr>
              <w:rFonts w:ascii="Cambria Math" w:eastAsia="Cambria Math" w:hAnsi="Cambria Math" w:cs="Cambria Math"/>
            </w:rPr>
            <m:t>-1</m:t>
          </m:r>
        </m:oMath>
      </m:oMathPara>
    </w:p>
    <w:p w14:paraId="04D63E86" w14:textId="77777777" w:rsidR="00DB48E0" w:rsidRDefault="00000000">
      <w:r>
        <w:t>Où :</w:t>
      </w:r>
    </w:p>
    <w:p w14:paraId="2A295068"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annuelle</m:t>
              </m:r>
            </m:sub>
          </m:sSub>
          <m:r>
            <w:rPr>
              <w:rFonts w:ascii="Cambria Math" w:eastAsia="Cambria Math" w:hAnsi="Cambria Math" w:cs="Cambria Math"/>
            </w:rPr>
            <m:t xml:space="preserve"> : rentabilité logarithmique annualisée</m:t>
          </m:r>
        </m:oMath>
      </m:oMathPara>
    </w:p>
    <w:p w14:paraId="0DFE6254" w14:textId="4EC03A36"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acc>
                <m:accPr>
                  <m:chr m:val="̅"/>
                  <m:ctrlPr>
                    <w:rPr>
                      <w:rFonts w:ascii="Cambria Math" w:eastAsia="Cambria Math" w:hAnsi="Cambria Math" w:cs="Cambria Math"/>
                      <w:i/>
                    </w:rPr>
                  </m:ctrlPr>
                </m:accPr>
                <m:e>
                  <m:r>
                    <w:rPr>
                      <w:rFonts w:ascii="Cambria Math" w:eastAsia="Cambria Math" w:hAnsi="Cambria Math" w:cs="Cambria Math"/>
                    </w:rPr>
                    <m:t>r</m:t>
                  </m:r>
                </m:e>
              </m:acc>
            </m:e>
            <m:sub>
              <m:r>
                <w:rPr>
                  <w:rFonts w:ascii="Cambria Math" w:eastAsia="Cambria Math" w:hAnsi="Cambria Math" w:cs="Cambria Math"/>
                </w:rPr>
                <m:t>mensuelle</m:t>
              </m:r>
            </m:sub>
          </m:sSub>
          <m:r>
            <w:rPr>
              <w:rFonts w:ascii="Cambria Math" w:eastAsia="Cambria Math" w:hAnsi="Cambria Math" w:cs="Cambria Math"/>
            </w:rPr>
            <m:t xml:space="preserve"> :moyenne des rentabilités logarithmiques mensuelles</m:t>
          </m:r>
        </m:oMath>
      </m:oMathPara>
    </w:p>
    <w:p w14:paraId="730EDAFF" w14:textId="77777777" w:rsidR="00DB48E0" w:rsidRDefault="00000000">
      <w:pPr>
        <w:pStyle w:val="Titre3"/>
      </w:pPr>
      <w:bookmarkStart w:id="14" w:name="_Toc194078563"/>
      <w:r>
        <w:lastRenderedPageBreak/>
        <w:t>La volatilité</w:t>
      </w:r>
      <w:bookmarkEnd w:id="14"/>
    </w:p>
    <w:p w14:paraId="1BF46878" w14:textId="77777777" w:rsidR="00DB48E0" w:rsidRDefault="00000000">
      <w:r>
        <w:t>La volatilité d’un titre financier évalue l’ampleur de ses fluctuations sur le marché. Indicateur clé du risque, elle s’inscrit dans la relation classique entre risque et rendement : une volatilité élevée implique un risque plus important, mais aussi une espérance de rendement plus élevée. Empiriquement, elle se mesure à l’aide de la variance ou de l’écart-type des variations du cours.</w:t>
      </w:r>
    </w:p>
    <w:p w14:paraId="0A587294" w14:textId="77777777" w:rsidR="00DB48E0" w:rsidRDefault="00000000">
      <w:r>
        <w:t>Dans notre étude, nous retenons l’écart-type comme mesure de la volatilité.</w:t>
      </w:r>
    </w:p>
    <w:p w14:paraId="7E3046F8" w14:textId="3F99C1EB" w:rsidR="00DB48E0" w:rsidRDefault="00000000">
      <w:pPr>
        <w:jc w:val="center"/>
        <w:rPr>
          <w:rFonts w:ascii="Cambria Math" w:eastAsia="Cambria Math" w:hAnsi="Cambria Math" w:cs="Cambria Math"/>
        </w:rPr>
      </w:pPr>
      <m:oMathPara>
        <m:oMath>
          <m:r>
            <w:rPr>
              <w:rFonts w:ascii="Cambria Math" w:eastAsia="Cambria Math" w:hAnsi="Cambria Math" w:cs="Cambria Math"/>
            </w:rPr>
            <m:t xml:space="preserve">σ= </m:t>
          </m:r>
          <m:rad>
            <m:radPr>
              <m:degHide m:val="1"/>
              <m:ctrlPr>
                <w:rPr>
                  <w:rFonts w:ascii="Cambria Math" w:eastAsia="Cambria Math" w:hAnsi="Cambria Math" w:cs="Cambria Math"/>
                </w:rPr>
              </m:ctrlPr>
            </m:radPr>
            <m:deg/>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N</m:t>
                  </m:r>
                </m:sup>
                <m:e>
                  <m:sSup>
                    <m:sSupPr>
                      <m:ctrlPr>
                        <w:rPr>
                          <w:rFonts w:ascii="Cambria Math" w:eastAsia="Cambria Math" w:hAnsi="Cambria Math" w:cs="Cambria Math"/>
                        </w:rPr>
                      </m:ctrlPr>
                    </m:sSupPr>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t</m:t>
                          </m:r>
                        </m:sub>
                      </m:sSub>
                      <m:r>
                        <w:rPr>
                          <w:rFonts w:ascii="Cambria Math" w:eastAsia="Cambria Math" w:hAnsi="Cambria Math" w:cs="Cambria Math"/>
                        </w:rPr>
                        <m:t>-</m:t>
                      </m:r>
                      <m:acc>
                        <m:accPr>
                          <m:chr m:val="̅"/>
                          <m:ctrlPr>
                            <w:rPr>
                              <w:rFonts w:ascii="Cambria Math" w:eastAsia="Cambria Math" w:hAnsi="Cambria Math" w:cs="Cambria Math"/>
                            </w:rPr>
                          </m:ctrlPr>
                        </m:accPr>
                        <m:e>
                          <m:r>
                            <w:rPr>
                              <w:rFonts w:ascii="Cambria Math" w:eastAsia="Cambria Math" w:hAnsi="Cambria Math" w:cs="Cambria Math"/>
                            </w:rPr>
                            <m:t>r</m:t>
                          </m:r>
                        </m:e>
                      </m:acc>
                      <m:r>
                        <w:rPr>
                          <w:rFonts w:ascii="Cambria Math" w:eastAsia="Cambria Math" w:hAnsi="Cambria Math" w:cs="Cambria Math"/>
                        </w:rPr>
                        <m:t>)</m:t>
                      </m:r>
                    </m:e>
                    <m:sup>
                      <m:r>
                        <w:rPr>
                          <w:rFonts w:ascii="Cambria Math" w:eastAsia="Cambria Math" w:hAnsi="Cambria Math" w:cs="Cambria Math"/>
                        </w:rPr>
                        <m:t>2</m:t>
                      </m:r>
                    </m:sup>
                  </m:sSup>
                </m:e>
              </m:nary>
            </m:e>
          </m:rad>
        </m:oMath>
      </m:oMathPara>
    </w:p>
    <w:p w14:paraId="1D1F8292" w14:textId="77777777" w:rsidR="00DB48E0" w:rsidRDefault="00000000">
      <w:r>
        <w:t>Où :</w:t>
      </w:r>
    </w:p>
    <w:p w14:paraId="5CE0D2DC" w14:textId="77777777" w:rsidR="00DB48E0" w:rsidRPr="00A27748" w:rsidRDefault="00000000">
      <w:pPr>
        <w:jc w:val="left"/>
        <w:rPr>
          <w:rFonts w:ascii="Cambria Math" w:eastAsia="Cambria Math" w:hAnsi="Cambria Math" w:cs="Cambria Math"/>
        </w:rPr>
      </w:pPr>
      <m:oMathPara>
        <m:oMathParaPr>
          <m:jc m:val="left"/>
        </m:oMathParaPr>
        <m:oMath>
          <m:r>
            <w:rPr>
              <w:rFonts w:ascii="Cambria Math" w:eastAsia="Cambria Math" w:hAnsi="Cambria Math" w:cs="Cambria Math"/>
            </w:rPr>
            <m:t>σ :</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m:t>
              </m:r>
            </m:sup>
          </m:sSup>
          <m:r>
            <w:rPr>
              <w:rFonts w:ascii="Cambria Math" w:eastAsia="Cambria Math" w:hAnsi="Cambria Math" w:cs="Cambria Math"/>
            </w:rPr>
            <m:t>écart-type</m:t>
          </m:r>
        </m:oMath>
      </m:oMathPara>
    </w:p>
    <w:p w14:paraId="38062820" w14:textId="77777777" w:rsidR="00DB48E0" w:rsidRPr="00A27748" w:rsidRDefault="00000000">
      <w:pPr>
        <w:jc w:val="left"/>
        <w:rPr>
          <w:rFonts w:ascii="Cambria Math" w:eastAsia="Cambria Math" w:hAnsi="Cambria Math" w:cs="Cambria Math"/>
        </w:rPr>
      </w:pPr>
      <m:oMathPara>
        <m:oMathParaPr>
          <m:jc m:val="left"/>
        </m:oMathParaPr>
        <m:oMath>
          <m:r>
            <w:rPr>
              <w:rFonts w:ascii="Cambria Math" w:eastAsia="Cambria Math" w:hAnsi="Cambria Math" w:cs="Cambria Math"/>
            </w:rPr>
            <m:t>N :le nombre d'observations</m:t>
          </m:r>
        </m:oMath>
      </m:oMathPara>
    </w:p>
    <w:p w14:paraId="5F3E242C"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t</m:t>
              </m:r>
            </m:sub>
          </m:sSub>
          <m:r>
            <w:rPr>
              <w:rFonts w:ascii="Cambria Math" w:eastAsia="Cambria Math" w:hAnsi="Cambria Math" w:cs="Cambria Math"/>
            </w:rPr>
            <m:t xml:space="preserve"> :le rendement de </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m:t>
              </m:r>
            </m:sup>
          </m:sSup>
          <m:r>
            <w:rPr>
              <w:rFonts w:ascii="Cambria Math" w:eastAsia="Cambria Math" w:hAnsi="Cambria Math" w:cs="Cambria Math"/>
            </w:rPr>
            <m:t xml:space="preserve">actif à </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m:t>
              </m:r>
            </m:sup>
          </m:sSup>
          <m:r>
            <w:rPr>
              <w:rFonts w:ascii="Cambria Math" w:eastAsia="Cambria Math" w:hAnsi="Cambria Math" w:cs="Cambria Math"/>
            </w:rPr>
            <m:t>instant t</m:t>
          </m:r>
        </m:oMath>
      </m:oMathPara>
    </w:p>
    <w:p w14:paraId="6DFE8FF0" w14:textId="4FD734C8" w:rsidR="00DB48E0" w:rsidRPr="00A27748" w:rsidRDefault="00750103">
      <w:pPr>
        <w:jc w:val="left"/>
        <w:rPr>
          <w:rFonts w:ascii="Cambria Math" w:eastAsia="Cambria Math" w:hAnsi="Cambria Math" w:cs="Cambria Math"/>
        </w:rPr>
      </w:pPr>
      <m:oMathPara>
        <m:oMathParaPr>
          <m:jc m:val="left"/>
        </m:oMathParaPr>
        <m:oMath>
          <m:acc>
            <m:accPr>
              <m:chr m:val="̅"/>
              <m:ctrlPr>
                <w:rPr>
                  <w:rFonts w:ascii="Cambria Math" w:eastAsia="Cambria Math" w:hAnsi="Cambria Math" w:cs="Cambria Math"/>
                </w:rPr>
              </m:ctrlPr>
            </m:accPr>
            <m:e>
              <m:r>
                <w:rPr>
                  <w:rFonts w:ascii="Cambria Math" w:eastAsia="Cambria Math" w:hAnsi="Cambria Math" w:cs="Cambria Math"/>
                </w:rPr>
                <m:t>r</m:t>
              </m:r>
            </m:e>
          </m:acc>
          <m:r>
            <w:rPr>
              <w:rFonts w:ascii="Cambria Math" w:eastAsia="Cambria Math" w:hAnsi="Cambria Math" w:cs="Cambria Math"/>
            </w:rPr>
            <m:t xml:space="preserve"> :le rendement moyen</m:t>
          </m:r>
        </m:oMath>
      </m:oMathPara>
    </w:p>
    <w:p w14:paraId="59E4CFDD" w14:textId="77777777" w:rsidR="00DB48E0" w:rsidRDefault="00000000">
      <w:r>
        <w:t>Dans la mesure où nous travaillons sur des rentabilités mensuelles et donc des volatilités mensuelles, il est nécessaire d’annualiser l’écart-type pour permettre les analyses comparatives.</w:t>
      </w:r>
    </w:p>
    <w:p w14:paraId="3A073DDB" w14:textId="77777777" w:rsidR="00DB48E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annuel</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σ</m:t>
              </m:r>
            </m:e>
            <m:sub>
              <m:r>
                <w:rPr>
                  <w:rFonts w:ascii="Cambria Math" w:eastAsia="Cambria Math" w:hAnsi="Cambria Math" w:cs="Cambria Math"/>
                </w:rPr>
                <m:t>mensuel</m:t>
              </m:r>
            </m:sub>
          </m:sSub>
          <m:rad>
            <m:radPr>
              <m:degHide m:val="1"/>
              <m:ctrlPr>
                <w:rPr>
                  <w:rFonts w:ascii="Cambria Math" w:eastAsia="Cambria Math" w:hAnsi="Cambria Math" w:cs="Cambria Math"/>
                </w:rPr>
              </m:ctrlPr>
            </m:radPr>
            <m:deg/>
            <m:e>
              <m:r>
                <w:rPr>
                  <w:rFonts w:ascii="Cambria Math" w:eastAsia="Cambria Math" w:hAnsi="Cambria Math" w:cs="Cambria Math"/>
                </w:rPr>
                <m:t>T</m:t>
              </m:r>
            </m:e>
          </m:rad>
        </m:oMath>
      </m:oMathPara>
    </w:p>
    <w:p w14:paraId="42DCDBF7" w14:textId="77777777" w:rsidR="00DB48E0" w:rsidRDefault="00000000">
      <w:proofErr w:type="gramStart"/>
      <w:r>
        <w:t>où</w:t>
      </w:r>
      <w:proofErr w:type="gramEnd"/>
      <w:r>
        <w:t xml:space="preserve"> T correspond au nombre de période dans une année</w:t>
      </w:r>
    </w:p>
    <w:p w14:paraId="2DEF71AB" w14:textId="77777777" w:rsidR="00DB48E0" w:rsidRDefault="00000000">
      <w:r>
        <w:t>Dans notre cas, T prend la valeur de 12 étant donné qu’une année comporte 12 mois.</w:t>
      </w:r>
    </w:p>
    <w:p w14:paraId="55E865EA" w14:textId="77777777" w:rsidR="00DB48E0" w:rsidRDefault="00000000">
      <w:pPr>
        <w:pStyle w:val="Titre3"/>
      </w:pPr>
      <w:bookmarkStart w:id="15" w:name="_Toc194078564"/>
      <w:r>
        <w:t>Le Beta</w:t>
      </w:r>
      <w:bookmarkEnd w:id="15"/>
    </w:p>
    <w:p w14:paraId="4F9AB612" w14:textId="77777777" w:rsidR="00DB48E0" w:rsidRDefault="00000000">
      <w:r>
        <w:t>Le bêta est un indicateur qui mesure la sensibilité du rendement d’un actif financier par rapport au rendement du marché. Il permet d’évaluer le niveau de risque systématique d’un actif, c’est-à-dire le risque qui ne peut être éliminé par diversification.</w:t>
      </w:r>
    </w:p>
    <w:p w14:paraId="7D47B83D" w14:textId="77777777" w:rsidR="00DB48E0" w:rsidRDefault="00000000">
      <w:r>
        <w:t>Le bêta est largement utilisé dans la théorie du portefeuille et le modèle d’évaluation des actifs financiers (CAPM) pour estimer le rendement attendu d’un actif en fonction du risque qu’il porte.</w:t>
      </w:r>
    </w:p>
    <w:p w14:paraId="4373E4FC" w14:textId="77777777" w:rsidR="00DB48E0" w:rsidRDefault="00000000">
      <w:r>
        <w:t>Le bêta s’interprète comme suit :</w:t>
      </w:r>
    </w:p>
    <w:p w14:paraId="502475E2" w14:textId="77777777" w:rsidR="00DB48E0" w:rsidRDefault="00000000">
      <w:pPr>
        <w:numPr>
          <w:ilvl w:val="0"/>
          <w:numId w:val="2"/>
        </w:numPr>
      </w:pPr>
      <w:proofErr w:type="gramStart"/>
      <w:r>
        <w:t>β</w:t>
      </w:r>
      <w:proofErr w:type="gramEnd"/>
      <w:r>
        <w:t>&gt;1 : L’actif est plus volatil que le marché. Il amplifie les variations du marché (exemple : si le marché monte de 1 %, l’actif monte de plus de 1 % en moyenne).</w:t>
      </w:r>
    </w:p>
    <w:p w14:paraId="21CB2CE1" w14:textId="77777777" w:rsidR="00DB48E0" w:rsidRDefault="00000000">
      <w:pPr>
        <w:numPr>
          <w:ilvl w:val="0"/>
          <w:numId w:val="2"/>
        </w:numPr>
      </w:pPr>
      <w:proofErr w:type="gramStart"/>
      <w:r>
        <w:t>β</w:t>
      </w:r>
      <w:proofErr w:type="gramEnd"/>
      <w:r>
        <w:t>=1 : L’actif évolue en phase avec le marché.</w:t>
      </w:r>
    </w:p>
    <w:p w14:paraId="0A857C0C" w14:textId="77777777" w:rsidR="00DB48E0" w:rsidRDefault="00000000">
      <w:pPr>
        <w:numPr>
          <w:ilvl w:val="0"/>
          <w:numId w:val="2"/>
        </w:numPr>
      </w:pPr>
      <w:r>
        <w:t>0&lt;β&lt;1 : L’actif est moins volatil que le marché. Il atténue les variations du marché.</w:t>
      </w:r>
    </w:p>
    <w:p w14:paraId="3DF496B3" w14:textId="77777777" w:rsidR="00DB48E0" w:rsidRDefault="00000000">
      <w:pPr>
        <w:numPr>
          <w:ilvl w:val="0"/>
          <w:numId w:val="2"/>
        </w:numPr>
      </w:pPr>
      <w:proofErr w:type="gramStart"/>
      <w:r>
        <w:t>β</w:t>
      </w:r>
      <w:proofErr w:type="gramEnd"/>
      <w:r>
        <w:t>&lt;0 : L’actif évolue en sens inverse du marché (rare, mais possible avec certains actifs comme l’or ou des produits dérivés).</w:t>
      </w:r>
    </w:p>
    <w:p w14:paraId="6B462FA9" w14:textId="77777777" w:rsidR="00DB48E0" w:rsidRDefault="00000000">
      <w:r>
        <w:lastRenderedPageBreak/>
        <w:t>Le bêta est défini comme suit :</w:t>
      </w:r>
    </w:p>
    <w:p w14:paraId="7E9F500A" w14:textId="77777777" w:rsidR="00DB48E0" w:rsidRDefault="00000000">
      <w:pPr>
        <w:jc w:val="center"/>
        <w:rPr>
          <w:rFonts w:ascii="Cambria Math" w:eastAsia="Cambria Math" w:hAnsi="Cambria Math" w:cs="Cambria Math"/>
        </w:rPr>
      </w:pPr>
      <m:oMathPara>
        <m:oMath>
          <m:r>
            <w:rPr>
              <w:rFonts w:ascii="Cambria Math" w:eastAsia="Cambria Math" w:hAnsi="Cambria Math" w:cs="Cambria Math"/>
            </w:rPr>
            <m:t>β=</m:t>
          </m:r>
          <m:f>
            <m:fPr>
              <m:ctrlPr>
                <w:rPr>
                  <w:rFonts w:ascii="Cambria Math" w:eastAsia="Cambria Math" w:hAnsi="Cambria Math" w:cs="Cambria Math"/>
                </w:rPr>
              </m:ctrlPr>
            </m:fPr>
            <m:num>
              <m:r>
                <w:rPr>
                  <w:rFonts w:ascii="Cambria Math" w:eastAsia="Cambria Math" w:hAnsi="Cambria Math" w:cs="Cambria Math"/>
                </w:rPr>
                <m:t>Cov(</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a</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m</m:t>
                  </m:r>
                </m:sub>
              </m:sSub>
              <m:r>
                <w:rPr>
                  <w:rFonts w:ascii="Cambria Math" w:eastAsia="Cambria Math" w:hAnsi="Cambria Math" w:cs="Cambria Math"/>
                </w:rPr>
                <m:t>)</m:t>
              </m:r>
            </m:num>
            <m:den>
              <m:r>
                <w:rPr>
                  <w:rFonts w:ascii="Cambria Math" w:eastAsia="Cambria Math" w:hAnsi="Cambria Math" w:cs="Cambria Math"/>
                </w:rPr>
                <m:t>Var(</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m</m:t>
                  </m:r>
                </m:sub>
              </m:sSub>
              <m:r>
                <w:rPr>
                  <w:rFonts w:ascii="Cambria Math" w:eastAsia="Cambria Math" w:hAnsi="Cambria Math" w:cs="Cambria Math"/>
                </w:rPr>
                <m:t>)</m:t>
              </m:r>
            </m:den>
          </m:f>
        </m:oMath>
      </m:oMathPara>
    </w:p>
    <w:p w14:paraId="40CE9455" w14:textId="77777777" w:rsidR="00DB48E0" w:rsidRDefault="00000000">
      <w:r>
        <w:t>Où :</w:t>
      </w:r>
    </w:p>
    <w:p w14:paraId="501D4EBB"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a</m:t>
              </m:r>
            </m:sub>
          </m:sSub>
          <m:r>
            <w:rPr>
              <w:rFonts w:ascii="Cambria Math" w:eastAsia="Cambria Math" w:hAnsi="Cambria Math" w:cs="Cambria Math"/>
            </w:rPr>
            <m:t xml:space="preserve"> est le rendement de </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m:t>
              </m:r>
            </m:sup>
          </m:sSup>
          <m:r>
            <w:rPr>
              <w:rFonts w:ascii="Cambria Math" w:eastAsia="Cambria Math" w:hAnsi="Cambria Math" w:cs="Cambria Math"/>
            </w:rPr>
            <m:t>actif,</m:t>
          </m:r>
        </m:oMath>
      </m:oMathPara>
    </w:p>
    <w:p w14:paraId="0F622B36"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m</m:t>
              </m:r>
            </m:sub>
          </m:sSub>
          <m:r>
            <w:rPr>
              <w:rFonts w:ascii="Cambria Math" w:eastAsia="Cambria Math" w:hAnsi="Cambria Math" w:cs="Cambria Math"/>
            </w:rPr>
            <m:t xml:space="preserve"> le rendement du marché,</m:t>
          </m:r>
        </m:oMath>
      </m:oMathPara>
    </w:p>
    <w:p w14:paraId="442070D6" w14:textId="77777777" w:rsidR="00DB48E0" w:rsidRPr="00A27748" w:rsidRDefault="00000000">
      <w:pPr>
        <w:jc w:val="left"/>
        <w:rPr>
          <w:rFonts w:ascii="Cambria Math" w:eastAsia="Cambria Math" w:hAnsi="Cambria Math" w:cs="Cambria Math"/>
        </w:rPr>
      </w:pPr>
      <m:oMathPara>
        <m:oMathParaPr>
          <m:jc m:val="left"/>
        </m:oMathParaPr>
        <m:oMath>
          <m:r>
            <w:rPr>
              <w:rFonts w:ascii="Cambria Math" w:eastAsia="Cambria Math" w:hAnsi="Cambria Math" w:cs="Cambria Math"/>
            </w:rPr>
            <m:t>Cov</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m</m:t>
                  </m:r>
                </m:sub>
              </m:sSub>
            </m:e>
          </m:d>
          <m:r>
            <w:rPr>
              <w:rFonts w:ascii="Cambria Math" w:eastAsia="Cambria Math" w:hAnsi="Cambria Math" w:cs="Cambria Math"/>
            </w:rPr>
            <m:t xml:space="preserve"> la covariance entre le rendement de </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m:t>
              </m:r>
            </m:sup>
          </m:sSup>
          <m:r>
            <w:rPr>
              <w:rFonts w:ascii="Cambria Math" w:eastAsia="Cambria Math" w:hAnsi="Cambria Math" w:cs="Cambria Math"/>
            </w:rPr>
            <m:t>actif et celui du marché,</m:t>
          </m:r>
        </m:oMath>
      </m:oMathPara>
    </w:p>
    <w:p w14:paraId="2B95A0C1" w14:textId="77777777" w:rsidR="00DB48E0" w:rsidRDefault="00000000">
      <m:oMath>
        <m:r>
          <w:rPr>
            <w:rFonts w:ascii="Cambria Math" w:eastAsia="Cambria Math" w:hAnsi="Cambria Math" w:cs="Cambria Math"/>
          </w:rPr>
          <m:t>Var</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m</m:t>
                </m:r>
              </m:sub>
            </m:sSub>
          </m:e>
        </m:d>
        <m:r>
          <w:rPr>
            <w:rFonts w:ascii="Cambria Math" w:eastAsia="Cambria Math" w:hAnsi="Cambria Math" w:cs="Cambria Math"/>
          </w:rPr>
          <m:t xml:space="preserve"> la variance du rendement du marché</m:t>
        </m:r>
      </m:oMath>
      <w:r>
        <w:t>.</w:t>
      </w:r>
    </w:p>
    <w:p w14:paraId="2644CBE1" w14:textId="77777777" w:rsidR="00DB48E0" w:rsidRDefault="00000000">
      <w:pPr>
        <w:pStyle w:val="Titre3"/>
      </w:pPr>
      <w:bookmarkStart w:id="16" w:name="_Toc194078565"/>
      <w:r>
        <w:t>La corrélation</w:t>
      </w:r>
      <w:bookmarkEnd w:id="16"/>
    </w:p>
    <w:p w14:paraId="384E4052" w14:textId="77777777" w:rsidR="00DB48E0" w:rsidRDefault="00000000">
      <w:r>
        <w:t>La corrélation est une mesure statistique qui quantifie le degré de relation entre deux variables. En finance, elle évalue dans quelle mesure les rendements de deux actifs évoluent ensemble.</w:t>
      </w:r>
    </w:p>
    <w:p w14:paraId="2D064B81" w14:textId="77777777" w:rsidR="00DB48E0" w:rsidRDefault="00000000">
      <w:r>
        <w:t>La corrélation entre deux actifs A et B est donnée par le coefficient de corrélation de Pearson :</w:t>
      </w:r>
    </w:p>
    <w:p w14:paraId="658B52CD" w14:textId="77777777" w:rsidR="00DB48E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ρ</m:t>
              </m:r>
            </m:e>
            <m:sub>
              <m:r>
                <w:rPr>
                  <w:rFonts w:ascii="Cambria Math" w:eastAsia="Cambria Math" w:hAnsi="Cambria Math" w:cs="Cambria Math"/>
                </w:rPr>
                <m:t>A,B</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Cov(</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A</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B</m:t>
                  </m:r>
                </m:sub>
              </m:sSub>
              <m:r>
                <w:rPr>
                  <w:rFonts w:ascii="Cambria Math" w:eastAsia="Cambria Math" w:hAnsi="Cambria Math" w:cs="Cambria Math"/>
                </w:rPr>
                <m:t>)</m:t>
              </m:r>
            </m:num>
            <m:den>
              <m:sSub>
                <m:sSubPr>
                  <m:ctrlPr>
                    <w:rPr>
                      <w:rFonts w:ascii="Cambria Math" w:eastAsia="Cambria Math" w:hAnsi="Cambria Math" w:cs="Cambria Math"/>
                    </w:rPr>
                  </m:ctrlPr>
                </m:sSubPr>
                <m:e>
                  <m:r>
                    <w:rPr>
                      <w:rFonts w:ascii="Cambria Math" w:eastAsia="Cambria Math" w:hAnsi="Cambria Math" w:cs="Cambria Math"/>
                    </w:rPr>
                    <m:t>σ</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σ</m:t>
                  </m:r>
                </m:e>
                <m:sub>
                  <m:r>
                    <w:rPr>
                      <w:rFonts w:ascii="Cambria Math" w:eastAsia="Cambria Math" w:hAnsi="Cambria Math" w:cs="Cambria Math"/>
                    </w:rPr>
                    <m:t>B</m:t>
                  </m:r>
                </m:sub>
              </m:sSub>
            </m:den>
          </m:f>
        </m:oMath>
      </m:oMathPara>
    </w:p>
    <w:p w14:paraId="2CF4727E" w14:textId="77777777" w:rsidR="00DB48E0" w:rsidRDefault="00000000">
      <w:r>
        <w:t>Où :</w:t>
      </w:r>
    </w:p>
    <w:p w14:paraId="38D91474" w14:textId="77777777" w:rsidR="00DB48E0" w:rsidRPr="00A27748" w:rsidRDefault="00000000">
      <w:pPr>
        <w:jc w:val="left"/>
        <w:rPr>
          <w:rFonts w:ascii="Cambria Math" w:eastAsia="Cambria Math" w:hAnsi="Cambria Math" w:cs="Cambria Math"/>
        </w:rPr>
      </w:pPr>
      <m:oMathPara>
        <m:oMathParaPr>
          <m:jc m:val="left"/>
        </m:oMathParaPr>
        <m:oMath>
          <m:r>
            <w:rPr>
              <w:rFonts w:ascii="Cambria Math" w:eastAsia="Cambria Math" w:hAnsi="Cambria Math" w:cs="Cambria Math"/>
            </w:rPr>
            <m:t>Cov</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B</m:t>
                  </m:r>
                </m:sub>
              </m:sSub>
            </m:e>
          </m:d>
          <m:r>
            <w:rPr>
              <w:rFonts w:ascii="Cambria Math" w:eastAsia="Cambria Math" w:hAnsi="Cambria Math" w:cs="Cambria Math"/>
            </w:rPr>
            <m:t xml:space="preserve"> est la covariance entre les rendements des actifs A et B</m:t>
          </m:r>
        </m:oMath>
      </m:oMathPara>
    </w:p>
    <w:p w14:paraId="7AF28752"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A</m:t>
              </m:r>
            </m:sub>
          </m:sSub>
          <m:r>
            <w:rPr>
              <w:rFonts w:ascii="Cambria Math" w:eastAsia="Cambria Math" w:hAnsi="Cambria Math" w:cs="Cambria Math"/>
            </w:rPr>
            <m:t xml:space="preserve"> et </m:t>
          </m:r>
          <m:sSub>
            <m:sSubPr>
              <m:ctrlPr>
                <w:rPr>
                  <w:rFonts w:ascii="Cambria Math" w:eastAsia="Cambria Math" w:hAnsi="Cambria Math" w:cs="Cambria Math"/>
                </w:rPr>
              </m:ctrlPr>
            </m:sSubPr>
            <m:e>
              <m:r>
                <w:rPr>
                  <w:rFonts w:ascii="Cambria Math" w:eastAsia="Cambria Math" w:hAnsi="Cambria Math" w:cs="Cambria Math"/>
                </w:rPr>
                <m:t>σ</m:t>
              </m:r>
            </m:e>
            <m:sub>
              <m:r>
                <w:rPr>
                  <w:rFonts w:ascii="Cambria Math" w:eastAsia="Cambria Math" w:hAnsi="Cambria Math" w:cs="Cambria Math"/>
                </w:rPr>
                <m:t>B</m:t>
              </m:r>
            </m:sub>
          </m:sSub>
          <m:r>
            <w:rPr>
              <w:rFonts w:ascii="Cambria Math" w:eastAsia="Cambria Math" w:hAnsi="Cambria Math" w:cs="Cambria Math"/>
            </w:rPr>
            <m:t xml:space="preserve"> les écart-types des rendements des actifs A et B.</m:t>
          </m:r>
        </m:oMath>
      </m:oMathPara>
    </w:p>
    <w:p w14:paraId="453E452E" w14:textId="77777777" w:rsidR="00DB48E0" w:rsidRDefault="00000000">
      <w:r>
        <w:t>La corrélation s’interprète comme suit :</w:t>
      </w:r>
    </w:p>
    <w:p w14:paraId="00F0E13D" w14:textId="77777777" w:rsidR="00DB48E0" w:rsidRDefault="00000000">
      <w:pPr>
        <w:numPr>
          <w:ilvl w:val="0"/>
          <w:numId w:val="3"/>
        </w:numPr>
      </w:pPr>
      <w:proofErr w:type="gramStart"/>
      <w:r>
        <w:t>ρ</w:t>
      </w:r>
      <w:proofErr w:type="gramEnd"/>
      <w:r>
        <w:t>=+1 : Corrélation parfaite et positive → Les actifs évoluent exactement dans le même sens.</w:t>
      </w:r>
    </w:p>
    <w:p w14:paraId="33FD8760" w14:textId="77777777" w:rsidR="00DB48E0" w:rsidRDefault="00000000">
      <w:pPr>
        <w:numPr>
          <w:ilvl w:val="0"/>
          <w:numId w:val="3"/>
        </w:numPr>
      </w:pPr>
      <w:proofErr w:type="gramStart"/>
      <w:r>
        <w:t>ρ</w:t>
      </w:r>
      <w:proofErr w:type="gramEnd"/>
      <w:r>
        <w:t>=0 : Aucune corrélation → Les actifs évoluent indépendamment l’un de l’autre.</w:t>
      </w:r>
    </w:p>
    <w:p w14:paraId="203F39C8" w14:textId="77777777" w:rsidR="00DB48E0" w:rsidRDefault="00000000">
      <w:pPr>
        <w:numPr>
          <w:ilvl w:val="0"/>
          <w:numId w:val="3"/>
        </w:numPr>
      </w:pPr>
      <w:proofErr w:type="gramStart"/>
      <w:r>
        <w:t>ρ</w:t>
      </w:r>
      <w:proofErr w:type="gramEnd"/>
      <w:r>
        <w:t>=−1 : Corrélation parfaite et négative → Les actifs évoluent en sens opposé.</w:t>
      </w:r>
    </w:p>
    <w:p w14:paraId="34986CB6" w14:textId="77777777" w:rsidR="00DB48E0" w:rsidRDefault="00000000">
      <w:r>
        <w:t>Dans la réalité de la finance, la corrélation n’est jamais parfaite mais se situe à des niveaux intermédiaires.</w:t>
      </w:r>
    </w:p>
    <w:p w14:paraId="568F430B" w14:textId="77777777" w:rsidR="00DB48E0" w:rsidRDefault="00000000">
      <w:pPr>
        <w:pStyle w:val="Titre3"/>
      </w:pPr>
      <w:bookmarkStart w:id="17" w:name="_Toc194078566"/>
      <w:r>
        <w:t xml:space="preserve">Le maximum </w:t>
      </w:r>
      <w:proofErr w:type="spellStart"/>
      <w:r>
        <w:t>drawdown</w:t>
      </w:r>
      <w:proofErr w:type="spellEnd"/>
      <w:r>
        <w:t xml:space="preserve"> ou perte maximale</w:t>
      </w:r>
      <w:bookmarkEnd w:id="17"/>
    </w:p>
    <w:p w14:paraId="510BD2AD" w14:textId="77777777" w:rsidR="00DB48E0" w:rsidRDefault="00000000">
      <w:r>
        <w:t xml:space="preserve">Le Max </w:t>
      </w:r>
      <w:proofErr w:type="spellStart"/>
      <w:r>
        <w:t>Drawdown</w:t>
      </w:r>
      <w:proofErr w:type="spellEnd"/>
      <w:r>
        <w:t xml:space="preserve"> est défini comme la perte maximale enregistrée par un investissement entre un sommet et un creux sur une période donnée. Exprimé en pourcentage de la valeur maximale atteinte, cet indicateur est crucial pour évaluer le risque de baisse des marchés. Il permet aux investisseurs d'estimer le montant potentiel de perte entre le pic et le creux de la valeur de leur portefeuille, offrant ainsi une perspective claire sur les fluctuations possibles de leurs actifs. </w:t>
      </w:r>
    </w:p>
    <w:p w14:paraId="4D9E188E" w14:textId="77777777" w:rsidR="00DB48E0" w:rsidRDefault="00000000">
      <w:pPr>
        <w:jc w:val="center"/>
        <w:rPr>
          <w:rFonts w:ascii="Cambria Math" w:eastAsia="Cambria Math" w:hAnsi="Cambria Math" w:cs="Cambria Math"/>
        </w:rPr>
      </w:pPr>
      <m:oMathPara>
        <m:oMath>
          <m:r>
            <w:rPr>
              <w:rFonts w:ascii="Cambria Math" w:eastAsia="Cambria Math" w:hAnsi="Cambria Math" w:cs="Cambria Math"/>
            </w:rPr>
            <m:t xml:space="preserve">Max drawdown=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max</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min</m:t>
                  </m:r>
                </m:sub>
              </m:sSub>
            </m:num>
            <m:den>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max</m:t>
                  </m:r>
                </m:sub>
              </m:sSub>
            </m:den>
          </m:f>
        </m:oMath>
      </m:oMathPara>
    </w:p>
    <w:p w14:paraId="4520D408" w14:textId="77777777" w:rsidR="00DB48E0" w:rsidRDefault="00000000">
      <w:r>
        <w:t>Où :</w:t>
      </w:r>
    </w:p>
    <w:p w14:paraId="17730595"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max</m:t>
              </m:r>
            </m:sub>
          </m:sSub>
          <m:r>
            <w:rPr>
              <w:rFonts w:ascii="Cambria Math" w:eastAsia="Cambria Math" w:hAnsi="Cambria Math" w:cs="Cambria Math"/>
            </w:rPr>
            <m:t xml:space="preserve"> est la valeur la plus élevée </m:t>
          </m:r>
          <m:d>
            <m:dPr>
              <m:ctrlPr>
                <w:rPr>
                  <w:rFonts w:ascii="Cambria Math" w:eastAsia="Cambria Math" w:hAnsi="Cambria Math" w:cs="Cambria Math"/>
                </w:rPr>
              </m:ctrlPr>
            </m:dPr>
            <m:e>
              <m:r>
                <w:rPr>
                  <w:rFonts w:ascii="Cambria Math" w:eastAsia="Cambria Math" w:hAnsi="Cambria Math" w:cs="Cambria Math"/>
                </w:rPr>
                <m:t>sommet</m:t>
              </m:r>
            </m:e>
          </m:d>
          <m:r>
            <w:rPr>
              <w:rFonts w:ascii="Cambria Math" w:eastAsia="Cambria Math" w:hAnsi="Cambria Math" w:cs="Cambria Math"/>
            </w:rPr>
            <m:t xml:space="preserve"> atteint par </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m:t>
              </m:r>
            </m:sup>
          </m:sSup>
          <m:r>
            <w:rPr>
              <w:rFonts w:ascii="Cambria Math" w:eastAsia="Cambria Math" w:hAnsi="Cambria Math" w:cs="Cambria Math"/>
            </w:rPr>
            <m:t>actif</m:t>
          </m:r>
        </m:oMath>
      </m:oMathPara>
    </w:p>
    <w:p w14:paraId="32A9F454"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min</m:t>
              </m:r>
            </m:sub>
          </m:sSub>
          <m:r>
            <w:rPr>
              <w:rFonts w:ascii="Cambria Math" w:eastAsia="Cambria Math" w:hAnsi="Cambria Math" w:cs="Cambria Math"/>
            </w:rPr>
            <m:t xml:space="preserve"> est la valeur la plus basse </m:t>
          </m:r>
          <m:d>
            <m:dPr>
              <m:ctrlPr>
                <w:rPr>
                  <w:rFonts w:ascii="Cambria Math" w:eastAsia="Cambria Math" w:hAnsi="Cambria Math" w:cs="Cambria Math"/>
                </w:rPr>
              </m:ctrlPr>
            </m:dPr>
            <m:e>
              <m:r>
                <w:rPr>
                  <w:rFonts w:ascii="Cambria Math" w:eastAsia="Cambria Math" w:hAnsi="Cambria Math" w:cs="Cambria Math"/>
                </w:rPr>
                <m:t>creux</m:t>
              </m:r>
            </m:e>
          </m:d>
          <m:r>
            <w:rPr>
              <w:rFonts w:ascii="Cambria Math" w:eastAsia="Cambria Math" w:hAnsi="Cambria Math" w:cs="Cambria Math"/>
            </w:rPr>
            <m:t xml:space="preserve"> atteint après le sommet</m:t>
          </m:r>
        </m:oMath>
      </m:oMathPara>
    </w:p>
    <w:p w14:paraId="3D0F1421" w14:textId="77777777" w:rsidR="00DB48E0" w:rsidRDefault="00000000">
      <w:pPr>
        <w:pStyle w:val="Titre3"/>
      </w:pPr>
      <w:bookmarkStart w:id="18" w:name="_Toc194078567"/>
      <w:r>
        <w:t>Le modèle à 5 facteurs de Fama et French</w:t>
      </w:r>
      <w:bookmarkEnd w:id="18"/>
    </w:p>
    <w:p w14:paraId="0684191F" w14:textId="77777777" w:rsidR="00DB48E0" w:rsidRDefault="00000000">
      <w:r>
        <w:t>En (2015), Eugene Fama et Kenneth French ont présenté un modèle à cinq facteurs, qui enrichit leur précédent modèle à trois facteurs en intégrant deux nouveaux éléments : le facteur de rentabilité et le facteur d'investissement. Ce modèle vise à fournir une explication plus complète des rendements boursiers en identifiant des sources de rendement non capturées par le modèle initial.</w:t>
      </w:r>
    </w:p>
    <w:p w14:paraId="14C479A7" w14:textId="77777777" w:rsidR="00DB48E0" w:rsidRDefault="00000000">
      <w:r>
        <w:t xml:space="preserve">Le facteur de rentabilité, appelé </w:t>
      </w:r>
      <w:proofErr w:type="spellStart"/>
      <w:r>
        <w:t>Robust</w:t>
      </w:r>
      <w:proofErr w:type="spellEnd"/>
      <w:r>
        <w:t xml:space="preserve"> minus Weak (</w:t>
      </w:r>
      <w:proofErr w:type="spellStart"/>
      <w:r>
        <w:t>RmW</w:t>
      </w:r>
      <w:proofErr w:type="spellEnd"/>
      <w:r>
        <w:t xml:space="preserve">), évalue la surperformance des entreprises affichant une rentabilité opérationnelle élevée par rapport à celles dont la rentabilité est faible. Ce facteur est déterminé par le rapport entre le résultat d'exploitation et la valeur comptable des capitaux propres. Par ailleurs, le facteur Conservative minus </w:t>
      </w:r>
      <w:proofErr w:type="spellStart"/>
      <w:r>
        <w:t>Aggressive</w:t>
      </w:r>
      <w:proofErr w:type="spellEnd"/>
      <w:r>
        <w:t xml:space="preserve"> (</w:t>
      </w:r>
      <w:proofErr w:type="spellStart"/>
      <w:r>
        <w:t>CmA</w:t>
      </w:r>
      <w:proofErr w:type="spellEnd"/>
      <w:r>
        <w:t>) mesure l'écart de rendement entre les titres caractérisés par un niveau d'investissement élevé et ceux avec un niveau faible, en se basant sur la variation annuelle du total des actifs.</w:t>
      </w:r>
    </w:p>
    <w:p w14:paraId="507BC8C5" w14:textId="77777777" w:rsidR="00DB48E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f</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i,1</m:t>
              </m:r>
            </m:sub>
          </m:sSub>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m</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f</m:t>
                  </m:r>
                </m:sub>
              </m:sSub>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i,2</m:t>
              </m:r>
            </m:sub>
          </m:sSub>
          <m:d>
            <m:dPr>
              <m:ctrlPr>
                <w:rPr>
                  <w:rFonts w:ascii="Cambria Math" w:eastAsia="Cambria Math" w:hAnsi="Cambria Math" w:cs="Cambria Math"/>
                </w:rPr>
              </m:ctrlPr>
            </m:dPr>
            <m:e>
              <m:r>
                <w:rPr>
                  <w:rFonts w:ascii="Cambria Math" w:eastAsia="Cambria Math" w:hAnsi="Cambria Math" w:cs="Cambria Math"/>
                </w:rPr>
                <m:t>SMB</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i,3</m:t>
              </m:r>
            </m:sub>
          </m:sSub>
          <m:d>
            <m:dPr>
              <m:ctrlPr>
                <w:rPr>
                  <w:rFonts w:ascii="Cambria Math" w:eastAsia="Cambria Math" w:hAnsi="Cambria Math" w:cs="Cambria Math"/>
                </w:rPr>
              </m:ctrlPr>
            </m:dPr>
            <m:e>
              <m:r>
                <w:rPr>
                  <w:rFonts w:ascii="Cambria Math" w:eastAsia="Cambria Math" w:hAnsi="Cambria Math" w:cs="Cambria Math"/>
                </w:rPr>
                <m:t>HML</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i,4</m:t>
              </m:r>
            </m:sub>
          </m:sSub>
          <m:d>
            <m:dPr>
              <m:ctrlPr>
                <w:rPr>
                  <w:rFonts w:ascii="Cambria Math" w:eastAsia="Cambria Math" w:hAnsi="Cambria Math" w:cs="Cambria Math"/>
                </w:rPr>
              </m:ctrlPr>
            </m:dPr>
            <m:e>
              <m:r>
                <w:rPr>
                  <w:rFonts w:ascii="Cambria Math" w:eastAsia="Cambria Math" w:hAnsi="Cambria Math" w:cs="Cambria Math"/>
                </w:rPr>
                <m:t>RMW</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i,5</m:t>
              </m:r>
            </m:sub>
          </m:sSub>
          <m:d>
            <m:dPr>
              <m:ctrlPr>
                <w:rPr>
                  <w:rFonts w:ascii="Cambria Math" w:eastAsia="Cambria Math" w:hAnsi="Cambria Math" w:cs="Cambria Math"/>
                </w:rPr>
              </m:ctrlPr>
            </m:dPr>
            <m:e>
              <m:r>
                <w:rPr>
                  <w:rFonts w:ascii="Cambria Math" w:eastAsia="Cambria Math" w:hAnsi="Cambria Math" w:cs="Cambria Math"/>
                </w:rPr>
                <m:t>CMA</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ϵ</m:t>
              </m:r>
            </m:e>
            <m:sub>
              <m:r>
                <w:rPr>
                  <w:rFonts w:ascii="Cambria Math" w:eastAsia="Cambria Math" w:hAnsi="Cambria Math" w:cs="Cambria Math"/>
                </w:rPr>
                <m:t>i</m:t>
              </m:r>
            </m:sub>
          </m:sSub>
        </m:oMath>
      </m:oMathPara>
    </w:p>
    <w:p w14:paraId="37D203E2" w14:textId="77777777" w:rsidR="00DB48E0" w:rsidRDefault="00000000">
      <w:r>
        <w:t>Où :</w:t>
      </w:r>
    </w:p>
    <w:p w14:paraId="0EEBD889"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i</m:t>
              </m:r>
            </m:sub>
          </m:sSub>
          <m:r>
            <w:rPr>
              <w:rFonts w:ascii="Cambria Math" w:eastAsia="Cambria Math" w:hAnsi="Cambria Math" w:cs="Cambria Math"/>
            </w:rPr>
            <m:t xml:space="preserve"> la rentabilité attendue du titre via le modèle</m:t>
          </m:r>
        </m:oMath>
      </m:oMathPara>
    </w:p>
    <w:p w14:paraId="08DEB4AC"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f</m:t>
              </m:r>
            </m:sub>
          </m:sSub>
          <m:r>
            <w:rPr>
              <w:rFonts w:ascii="Cambria Math" w:eastAsia="Cambria Math" w:hAnsi="Cambria Math" w:cs="Cambria Math"/>
            </w:rPr>
            <m:t xml:space="preserve"> le taux sans risque</m:t>
          </m:r>
        </m:oMath>
      </m:oMathPara>
    </w:p>
    <w:p w14:paraId="62C5E719"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r>
            <w:rPr>
              <w:rFonts w:ascii="Cambria Math" w:eastAsia="Cambria Math" w:hAnsi="Cambria Math" w:cs="Cambria Math"/>
            </w:rPr>
            <m:t xml:space="preserve"> le facteur non explicatif</m:t>
          </m:r>
        </m:oMath>
      </m:oMathPara>
    </w:p>
    <w:p w14:paraId="5D3FA843"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m</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f</m:t>
              </m:r>
            </m:sub>
          </m:sSub>
          <m:r>
            <w:rPr>
              <w:rFonts w:ascii="Cambria Math" w:eastAsia="Cambria Math" w:hAnsi="Cambria Math" w:cs="Cambria Math"/>
            </w:rPr>
            <m:t xml:space="preserve"> la prime de risque du marché</m:t>
          </m:r>
        </m:oMath>
      </m:oMathPara>
    </w:p>
    <w:p w14:paraId="6E26E7AE"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i,1</m:t>
              </m:r>
            </m:sub>
          </m:sSub>
          <m:r>
            <w:rPr>
              <w:rFonts w:ascii="Cambria Math" w:eastAsia="Cambria Math" w:hAnsi="Cambria Math" w:cs="Cambria Math"/>
            </w:rPr>
            <m:t xml:space="preserve"> la sensibilité de </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m:t>
              </m:r>
            </m:sup>
          </m:sSup>
          <m:r>
            <w:rPr>
              <w:rFonts w:ascii="Cambria Math" w:eastAsia="Cambria Math" w:hAnsi="Cambria Math" w:cs="Cambria Math"/>
            </w:rPr>
            <m:t>actif au facteur de risque du marché</m:t>
          </m:r>
        </m:oMath>
      </m:oMathPara>
    </w:p>
    <w:p w14:paraId="6592FA24" w14:textId="77777777" w:rsidR="00DB48E0" w:rsidRPr="00A27748" w:rsidRDefault="00000000">
      <w:pPr>
        <w:jc w:val="left"/>
        <w:rPr>
          <w:rFonts w:ascii="Cambria Math" w:eastAsia="Cambria Math" w:hAnsi="Cambria Math" w:cs="Cambria Math"/>
        </w:rPr>
      </w:pPr>
      <m:oMathPara>
        <m:oMathParaPr>
          <m:jc m:val="left"/>
        </m:oMathParaPr>
        <m:oMath>
          <m:r>
            <w:rPr>
              <w:rFonts w:ascii="Cambria Math" w:eastAsia="Cambria Math" w:hAnsi="Cambria Math" w:cs="Cambria Math"/>
            </w:rPr>
            <m:t>SMB le facteur small-minus-big</m:t>
          </m:r>
        </m:oMath>
      </m:oMathPara>
    </w:p>
    <w:p w14:paraId="529321B3"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i,2</m:t>
              </m:r>
            </m:sub>
          </m:sSub>
          <m:r>
            <w:rPr>
              <w:rFonts w:ascii="Cambria Math" w:eastAsia="Cambria Math" w:hAnsi="Cambria Math" w:cs="Cambria Math"/>
            </w:rPr>
            <m:t xml:space="preserve"> la sensibilité de </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m:t>
              </m:r>
            </m:sup>
          </m:sSup>
          <m:r>
            <w:rPr>
              <w:rFonts w:ascii="Cambria Math" w:eastAsia="Cambria Math" w:hAnsi="Cambria Math" w:cs="Cambria Math"/>
            </w:rPr>
            <m:t>actif au facteur taille</m:t>
          </m:r>
        </m:oMath>
      </m:oMathPara>
    </w:p>
    <w:p w14:paraId="7180BC12" w14:textId="77777777" w:rsidR="00DB48E0" w:rsidRPr="00A27748" w:rsidRDefault="00000000">
      <w:pPr>
        <w:jc w:val="left"/>
        <w:rPr>
          <w:rFonts w:ascii="Cambria Math" w:eastAsia="Cambria Math" w:hAnsi="Cambria Math" w:cs="Cambria Math"/>
        </w:rPr>
      </w:pPr>
      <m:oMathPara>
        <m:oMathParaPr>
          <m:jc m:val="left"/>
        </m:oMathParaPr>
        <m:oMath>
          <m:r>
            <w:rPr>
              <w:rFonts w:ascii="Cambria Math" w:eastAsia="Cambria Math" w:hAnsi="Cambria Math" w:cs="Cambria Math"/>
            </w:rPr>
            <m:t>HML le facteur high-minus-low</m:t>
          </m:r>
        </m:oMath>
      </m:oMathPara>
    </w:p>
    <w:p w14:paraId="72BBFBE4"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i,3</m:t>
              </m:r>
            </m:sub>
          </m:sSub>
          <m:r>
            <w:rPr>
              <w:rFonts w:ascii="Cambria Math" w:eastAsia="Cambria Math" w:hAnsi="Cambria Math" w:cs="Cambria Math"/>
            </w:rPr>
            <m:t xml:space="preserve"> la sensibilité de </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m:t>
              </m:r>
            </m:sup>
          </m:sSup>
          <m:r>
            <w:rPr>
              <w:rFonts w:ascii="Cambria Math" w:eastAsia="Cambria Math" w:hAnsi="Cambria Math" w:cs="Cambria Math"/>
            </w:rPr>
            <m:t>actif au facteur valeur</m:t>
          </m:r>
        </m:oMath>
      </m:oMathPara>
    </w:p>
    <w:p w14:paraId="30BB55B0" w14:textId="77777777" w:rsidR="00DB48E0" w:rsidRPr="00A27748" w:rsidRDefault="00000000">
      <w:pPr>
        <w:jc w:val="left"/>
        <w:rPr>
          <w:rFonts w:ascii="Cambria Math" w:eastAsia="Cambria Math" w:hAnsi="Cambria Math" w:cs="Cambria Math"/>
        </w:rPr>
      </w:pPr>
      <m:oMathPara>
        <m:oMathParaPr>
          <m:jc m:val="left"/>
        </m:oMathParaPr>
        <m:oMath>
          <m:r>
            <w:rPr>
              <w:rFonts w:ascii="Cambria Math" w:eastAsia="Cambria Math" w:hAnsi="Cambria Math" w:cs="Cambria Math"/>
            </w:rPr>
            <m:t>RMW le facteur Robust-minus-Weak</m:t>
          </m:r>
        </m:oMath>
      </m:oMathPara>
    </w:p>
    <w:p w14:paraId="1DD2FE28"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i,4</m:t>
              </m:r>
            </m:sub>
          </m:sSub>
          <m:r>
            <w:rPr>
              <w:rFonts w:ascii="Cambria Math" w:eastAsia="Cambria Math" w:hAnsi="Cambria Math" w:cs="Cambria Math"/>
            </w:rPr>
            <m:t xml:space="preserve"> la sensibilité de </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m:t>
              </m:r>
            </m:sup>
          </m:sSup>
          <m:r>
            <w:rPr>
              <w:rFonts w:ascii="Cambria Math" w:eastAsia="Cambria Math" w:hAnsi="Cambria Math" w:cs="Cambria Math"/>
            </w:rPr>
            <m:t>actif au facteur de rentabilité</m:t>
          </m:r>
        </m:oMath>
      </m:oMathPara>
    </w:p>
    <w:p w14:paraId="426D075E" w14:textId="77777777" w:rsidR="00DB48E0" w:rsidRPr="00A27748" w:rsidRDefault="00000000">
      <w:pPr>
        <w:jc w:val="left"/>
        <w:rPr>
          <w:rFonts w:ascii="Cambria Math" w:eastAsia="Cambria Math" w:hAnsi="Cambria Math" w:cs="Cambria Math"/>
        </w:rPr>
      </w:pPr>
      <m:oMathPara>
        <m:oMathParaPr>
          <m:jc m:val="left"/>
        </m:oMathParaPr>
        <m:oMath>
          <m:r>
            <w:rPr>
              <w:rFonts w:ascii="Cambria Math" w:eastAsia="Cambria Math" w:hAnsi="Cambria Math" w:cs="Cambria Math"/>
            </w:rPr>
            <m:t>CMA le facteur Conservative-minus-Agressive</m:t>
          </m:r>
        </m:oMath>
      </m:oMathPara>
    </w:p>
    <w:p w14:paraId="6BC07BE2"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i,5</m:t>
              </m:r>
            </m:sub>
          </m:sSub>
          <m:r>
            <w:rPr>
              <w:rFonts w:ascii="Cambria Math" w:eastAsia="Cambria Math" w:hAnsi="Cambria Math" w:cs="Cambria Math"/>
            </w:rPr>
            <m:t xml:space="preserve"> la sensibilité de </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m:t>
              </m:r>
            </m:sup>
          </m:sSup>
          <m:r>
            <w:rPr>
              <w:rFonts w:ascii="Cambria Math" w:eastAsia="Cambria Math" w:hAnsi="Cambria Math" w:cs="Cambria Math"/>
            </w:rPr>
            <m:t>actif au facteur valeur</m:t>
          </m:r>
        </m:oMath>
      </m:oMathPara>
    </w:p>
    <w:p w14:paraId="525D8C08" w14:textId="77777777" w:rsidR="00DB48E0" w:rsidRPr="00A27748" w:rsidRDefault="00000000">
      <w:pPr>
        <w:jc w:val="left"/>
        <w:rPr>
          <w:rFonts w:ascii="Cambria Math" w:eastAsia="Cambria Math" w:hAnsi="Cambria Math" w:cs="Cambria Math"/>
        </w:rPr>
      </w:pPr>
      <m:oMathPara>
        <m:oMathParaPr>
          <m:jc m:val="left"/>
        </m:oMathParaP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m:t>
              </m:r>
            </m:sub>
          </m:sSub>
          <m:r>
            <w:rPr>
              <w:rFonts w:ascii="Cambria Math" w:eastAsia="Cambria Math" w:hAnsi="Cambria Math" w:cs="Cambria Math"/>
            </w:rPr>
            <m:t xml:space="preserve"> le terme d'erreur</m:t>
          </m:r>
        </m:oMath>
      </m:oMathPara>
    </w:p>
    <w:p w14:paraId="69D1DD5B" w14:textId="77777777" w:rsidR="00DB48E0" w:rsidRDefault="00000000">
      <w:pPr>
        <w:pStyle w:val="Titre1"/>
      </w:pPr>
      <w:bookmarkStart w:id="19" w:name="_Toc194078568"/>
      <w:r>
        <w:lastRenderedPageBreak/>
        <w:t>Résultats</w:t>
      </w:r>
      <w:bookmarkEnd w:id="19"/>
    </w:p>
    <w:p w14:paraId="3325CCB8" w14:textId="77777777" w:rsidR="00DB48E0" w:rsidRDefault="00000000">
      <w:pPr>
        <w:pStyle w:val="Titre2"/>
        <w:ind w:left="576" w:hanging="576"/>
      </w:pPr>
      <w:bookmarkStart w:id="20" w:name="_Toc194078569"/>
      <w:r>
        <w:t>Analyse globale sur la période 1998-2024</w:t>
      </w:r>
      <w:bookmarkEnd w:id="20"/>
    </w:p>
    <w:p w14:paraId="4C2B6E75" w14:textId="0F4373E6" w:rsidR="00DB48E0" w:rsidRDefault="00A27748" w:rsidP="00A27748">
      <w:pPr>
        <w:pStyle w:val="Lgende"/>
        <w:rPr>
          <w:b w:val="0"/>
          <w:color w:val="000000"/>
        </w:rPr>
      </w:pPr>
      <w:bookmarkStart w:id="21" w:name="_heading=h.i663beum7kc3" w:colFirst="0" w:colLast="0"/>
      <w:bookmarkStart w:id="22" w:name="_Toc194078603"/>
      <w:bookmarkEnd w:id="21"/>
      <w:r>
        <w:t xml:space="preserve">Figure </w:t>
      </w:r>
      <w:fldSimple w:instr=" SEQ Figure \* ARABIC ">
        <w:r w:rsidR="004D7D3B">
          <w:rPr>
            <w:noProof/>
          </w:rPr>
          <w:t>1</w:t>
        </w:r>
      </w:fldSimple>
      <w:r>
        <w:rPr>
          <w:color w:val="000000"/>
        </w:rPr>
        <w:t>. Evolution en base 100 des styles d’investissement sur le marché européen de 1999 à 2024</w:t>
      </w:r>
      <w:bookmarkEnd w:id="22"/>
    </w:p>
    <w:p w14:paraId="39396083" w14:textId="77777777" w:rsidR="00DB48E0" w:rsidRDefault="00000000">
      <w:pPr>
        <w:jc w:val="center"/>
      </w:pPr>
      <w:r>
        <w:rPr>
          <w:noProof/>
          <w:color w:val="000000"/>
        </w:rPr>
        <w:drawing>
          <wp:inline distT="0" distB="0" distL="0" distR="0" wp14:anchorId="33460C85" wp14:editId="215B171F">
            <wp:extent cx="5004122" cy="3024000"/>
            <wp:effectExtent l="0" t="0" r="0" b="0"/>
            <wp:docPr id="9542848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004122" cy="3024000"/>
                    </a:xfrm>
                    <a:prstGeom prst="rect">
                      <a:avLst/>
                    </a:prstGeom>
                    <a:ln/>
                  </pic:spPr>
                </pic:pic>
              </a:graphicData>
            </a:graphic>
          </wp:inline>
        </w:drawing>
      </w:r>
    </w:p>
    <w:p w14:paraId="69384B8B" w14:textId="77777777" w:rsidR="00DB48E0" w:rsidRDefault="00000000">
      <w:pPr>
        <w:spacing w:after="240"/>
      </w:pPr>
      <w:r>
        <w:t>Source : auteurs, mars 2025.</w:t>
      </w:r>
    </w:p>
    <w:p w14:paraId="2FB6F80D" w14:textId="1420AB23" w:rsidR="00DB48E0" w:rsidRDefault="00A27748" w:rsidP="00A27748">
      <w:pPr>
        <w:pStyle w:val="Lgende"/>
        <w:rPr>
          <w:b w:val="0"/>
          <w:color w:val="000000"/>
        </w:rPr>
      </w:pPr>
      <w:bookmarkStart w:id="23" w:name="_heading=h.5giq9gblijin" w:colFirst="0" w:colLast="0"/>
      <w:bookmarkStart w:id="24" w:name="_Toc194078604"/>
      <w:bookmarkEnd w:id="23"/>
      <w:r>
        <w:t xml:space="preserve">Figure </w:t>
      </w:r>
      <w:fldSimple w:instr=" SEQ Figure \* ARABIC ">
        <w:r w:rsidR="004D7D3B">
          <w:rPr>
            <w:noProof/>
          </w:rPr>
          <w:t>2</w:t>
        </w:r>
      </w:fldSimple>
      <w:r>
        <w:rPr>
          <w:color w:val="000000"/>
        </w:rPr>
        <w:t>. Matrice de corrélation entre les styles d’investissement</w:t>
      </w:r>
      <w:bookmarkEnd w:id="24"/>
    </w:p>
    <w:p w14:paraId="1956DB6C" w14:textId="77777777" w:rsidR="00DB48E0" w:rsidRDefault="00000000">
      <w:pPr>
        <w:jc w:val="center"/>
      </w:pPr>
      <w:r>
        <w:rPr>
          <w:noProof/>
          <w:color w:val="000000"/>
        </w:rPr>
        <w:drawing>
          <wp:inline distT="0" distB="0" distL="0" distR="0" wp14:anchorId="3E92BAB5" wp14:editId="1E117F4F">
            <wp:extent cx="3256890" cy="2880000"/>
            <wp:effectExtent l="0" t="0" r="0" b="0"/>
            <wp:docPr id="9542848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256890" cy="2880000"/>
                    </a:xfrm>
                    <a:prstGeom prst="rect">
                      <a:avLst/>
                    </a:prstGeom>
                    <a:ln/>
                  </pic:spPr>
                </pic:pic>
              </a:graphicData>
            </a:graphic>
          </wp:inline>
        </w:drawing>
      </w:r>
    </w:p>
    <w:p w14:paraId="342C89C3" w14:textId="77777777" w:rsidR="00DB48E0" w:rsidRDefault="00000000">
      <w:pPr>
        <w:spacing w:after="240"/>
      </w:pPr>
      <w:r>
        <w:t>Source : auteurs, mars 2025.</w:t>
      </w:r>
    </w:p>
    <w:p w14:paraId="2BADDB47" w14:textId="57AA61C3" w:rsidR="00DB48E0" w:rsidRDefault="00A27748" w:rsidP="00A27748">
      <w:pPr>
        <w:pStyle w:val="Lgende"/>
        <w:rPr>
          <w:b w:val="0"/>
          <w:color w:val="000000"/>
        </w:rPr>
      </w:pPr>
      <w:bookmarkStart w:id="25" w:name="_heading=h.wi5z0il5abgf" w:colFirst="0" w:colLast="0"/>
      <w:bookmarkStart w:id="26" w:name="_Toc194078594"/>
      <w:bookmarkEnd w:id="25"/>
      <w:r>
        <w:lastRenderedPageBreak/>
        <w:t xml:space="preserve">Tableau </w:t>
      </w:r>
      <w:fldSimple w:instr=" SEQ Tableau \* ARABIC ">
        <w:r w:rsidR="004D7D3B">
          <w:rPr>
            <w:noProof/>
          </w:rPr>
          <w:t>4</w:t>
        </w:r>
      </w:fldSimple>
      <w:r>
        <w:rPr>
          <w:color w:val="000000"/>
        </w:rPr>
        <w:t>. Les bêtas par rapport au MSCI Europe des styles d’investissement</w:t>
      </w:r>
      <w:bookmarkEnd w:id="26"/>
    </w:p>
    <w:tbl>
      <w:tblPr>
        <w:tblStyle w:val="a2"/>
        <w:tblW w:w="7819"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189"/>
        <w:gridCol w:w="962"/>
        <w:gridCol w:w="834"/>
        <w:gridCol w:w="1376"/>
        <w:gridCol w:w="951"/>
        <w:gridCol w:w="777"/>
        <w:gridCol w:w="788"/>
        <w:gridCol w:w="942"/>
      </w:tblGrid>
      <w:tr w:rsidR="00DB48E0" w14:paraId="38404B75" w14:textId="77777777">
        <w:trPr>
          <w:jc w:val="center"/>
        </w:trPr>
        <w:tc>
          <w:tcPr>
            <w:tcW w:w="1189" w:type="dxa"/>
            <w:tcBorders>
              <w:top w:val="single" w:sz="4" w:space="0" w:color="000000"/>
              <w:bottom w:val="single" w:sz="4" w:space="0" w:color="000000"/>
            </w:tcBorders>
            <w:vAlign w:val="center"/>
          </w:tcPr>
          <w:p w14:paraId="47C1F9AD" w14:textId="77777777" w:rsidR="00DB48E0" w:rsidRDefault="00DB48E0">
            <w:pPr>
              <w:jc w:val="left"/>
            </w:pPr>
          </w:p>
        </w:tc>
        <w:tc>
          <w:tcPr>
            <w:tcW w:w="962" w:type="dxa"/>
            <w:tcBorders>
              <w:top w:val="single" w:sz="4" w:space="0" w:color="000000"/>
              <w:bottom w:val="single" w:sz="4" w:space="0" w:color="000000"/>
            </w:tcBorders>
            <w:vAlign w:val="center"/>
          </w:tcPr>
          <w:p w14:paraId="7794353D" w14:textId="77777777" w:rsidR="00DB48E0" w:rsidRDefault="00000000">
            <w:pPr>
              <w:jc w:val="center"/>
            </w:pPr>
            <w:r>
              <w:rPr>
                <w:color w:val="000000"/>
              </w:rPr>
              <w:t>Low vol</w:t>
            </w:r>
          </w:p>
        </w:tc>
        <w:tc>
          <w:tcPr>
            <w:tcW w:w="834" w:type="dxa"/>
            <w:tcBorders>
              <w:top w:val="single" w:sz="4" w:space="0" w:color="000000"/>
              <w:bottom w:val="single" w:sz="4" w:space="0" w:color="000000"/>
            </w:tcBorders>
            <w:vAlign w:val="center"/>
          </w:tcPr>
          <w:p w14:paraId="0BCB6BBC" w14:textId="77777777" w:rsidR="00DB48E0" w:rsidRDefault="00000000">
            <w:pPr>
              <w:jc w:val="center"/>
            </w:pPr>
            <w:proofErr w:type="spellStart"/>
            <w:r>
              <w:t>Quality</w:t>
            </w:r>
            <w:proofErr w:type="spellEnd"/>
          </w:p>
        </w:tc>
        <w:tc>
          <w:tcPr>
            <w:tcW w:w="1376" w:type="dxa"/>
            <w:tcBorders>
              <w:top w:val="single" w:sz="4" w:space="0" w:color="000000"/>
              <w:bottom w:val="single" w:sz="4" w:space="0" w:color="000000"/>
            </w:tcBorders>
            <w:vAlign w:val="center"/>
          </w:tcPr>
          <w:p w14:paraId="15F0C778" w14:textId="77777777" w:rsidR="00DB48E0" w:rsidRDefault="00000000">
            <w:pPr>
              <w:jc w:val="center"/>
            </w:pPr>
            <w:r>
              <w:rPr>
                <w:color w:val="000000"/>
              </w:rPr>
              <w:t>Momentum</w:t>
            </w:r>
          </w:p>
        </w:tc>
        <w:tc>
          <w:tcPr>
            <w:tcW w:w="951" w:type="dxa"/>
            <w:tcBorders>
              <w:top w:val="single" w:sz="4" w:space="0" w:color="000000"/>
              <w:bottom w:val="single" w:sz="4" w:space="0" w:color="000000"/>
            </w:tcBorders>
            <w:vAlign w:val="center"/>
          </w:tcPr>
          <w:p w14:paraId="5120F499" w14:textId="77777777" w:rsidR="00DB48E0" w:rsidRDefault="00000000">
            <w:pPr>
              <w:jc w:val="center"/>
            </w:pPr>
            <w:proofErr w:type="spellStart"/>
            <w:r>
              <w:rPr>
                <w:color w:val="000000"/>
              </w:rPr>
              <w:t>Growth</w:t>
            </w:r>
            <w:proofErr w:type="spellEnd"/>
          </w:p>
        </w:tc>
        <w:tc>
          <w:tcPr>
            <w:tcW w:w="777" w:type="dxa"/>
            <w:tcBorders>
              <w:top w:val="single" w:sz="4" w:space="0" w:color="000000"/>
              <w:bottom w:val="single" w:sz="4" w:space="0" w:color="000000"/>
            </w:tcBorders>
            <w:vAlign w:val="center"/>
          </w:tcPr>
          <w:p w14:paraId="78547FA6" w14:textId="77777777" w:rsidR="00DB48E0" w:rsidRDefault="00000000">
            <w:pPr>
              <w:jc w:val="center"/>
            </w:pPr>
            <w:r>
              <w:rPr>
                <w:color w:val="000000"/>
              </w:rPr>
              <w:t>Large</w:t>
            </w:r>
          </w:p>
        </w:tc>
        <w:tc>
          <w:tcPr>
            <w:tcW w:w="788" w:type="dxa"/>
            <w:tcBorders>
              <w:top w:val="single" w:sz="4" w:space="0" w:color="000000"/>
              <w:bottom w:val="single" w:sz="4" w:space="0" w:color="000000"/>
            </w:tcBorders>
            <w:vAlign w:val="center"/>
          </w:tcPr>
          <w:p w14:paraId="5CB1FCFD" w14:textId="77777777" w:rsidR="00DB48E0" w:rsidRDefault="00000000">
            <w:pPr>
              <w:jc w:val="center"/>
            </w:pPr>
            <w:r>
              <w:rPr>
                <w:color w:val="000000"/>
              </w:rPr>
              <w:t>Value</w:t>
            </w:r>
          </w:p>
        </w:tc>
        <w:tc>
          <w:tcPr>
            <w:tcW w:w="942" w:type="dxa"/>
            <w:tcBorders>
              <w:top w:val="single" w:sz="4" w:space="0" w:color="000000"/>
              <w:bottom w:val="single" w:sz="4" w:space="0" w:color="000000"/>
            </w:tcBorders>
            <w:vAlign w:val="center"/>
          </w:tcPr>
          <w:p w14:paraId="33434F27" w14:textId="77777777" w:rsidR="00DB48E0" w:rsidRDefault="00000000">
            <w:pPr>
              <w:jc w:val="center"/>
            </w:pPr>
            <w:r>
              <w:rPr>
                <w:color w:val="000000"/>
              </w:rPr>
              <w:t>Small</w:t>
            </w:r>
          </w:p>
        </w:tc>
      </w:tr>
      <w:tr w:rsidR="00DB48E0" w14:paraId="19EA32A2" w14:textId="77777777">
        <w:trPr>
          <w:trHeight w:val="170"/>
          <w:jc w:val="center"/>
        </w:trPr>
        <w:tc>
          <w:tcPr>
            <w:tcW w:w="1189" w:type="dxa"/>
            <w:tcBorders>
              <w:top w:val="single" w:sz="4" w:space="0" w:color="000000"/>
              <w:bottom w:val="single" w:sz="4" w:space="0" w:color="000000"/>
            </w:tcBorders>
          </w:tcPr>
          <w:p w14:paraId="159B9B80" w14:textId="77777777" w:rsidR="00DB48E0" w:rsidRDefault="00000000">
            <w:r>
              <w:rPr>
                <w:color w:val="000000"/>
              </w:rPr>
              <w:t>Bêta</w:t>
            </w:r>
          </w:p>
        </w:tc>
        <w:tc>
          <w:tcPr>
            <w:tcW w:w="962" w:type="dxa"/>
            <w:tcBorders>
              <w:top w:val="single" w:sz="4" w:space="0" w:color="000000"/>
              <w:bottom w:val="single" w:sz="4" w:space="0" w:color="000000"/>
            </w:tcBorders>
            <w:vAlign w:val="center"/>
          </w:tcPr>
          <w:p w14:paraId="0DA948BB" w14:textId="77777777" w:rsidR="00DB48E0" w:rsidRDefault="00000000">
            <w:pPr>
              <w:jc w:val="center"/>
              <w:rPr>
                <w:color w:val="000000"/>
              </w:rPr>
            </w:pPr>
            <w:r>
              <w:rPr>
                <w:color w:val="000000"/>
              </w:rPr>
              <w:t>0,</w:t>
            </w:r>
            <w:r>
              <w:t>70</w:t>
            </w:r>
          </w:p>
        </w:tc>
        <w:tc>
          <w:tcPr>
            <w:tcW w:w="834" w:type="dxa"/>
            <w:tcBorders>
              <w:top w:val="single" w:sz="4" w:space="0" w:color="000000"/>
              <w:bottom w:val="single" w:sz="4" w:space="0" w:color="000000"/>
            </w:tcBorders>
            <w:vAlign w:val="center"/>
          </w:tcPr>
          <w:p w14:paraId="3257EF7F" w14:textId="77777777" w:rsidR="00DB48E0" w:rsidRDefault="00000000">
            <w:pPr>
              <w:jc w:val="center"/>
              <w:rPr>
                <w:color w:val="000000"/>
              </w:rPr>
            </w:pPr>
            <w:r>
              <w:rPr>
                <w:color w:val="000000"/>
              </w:rPr>
              <w:t>0,</w:t>
            </w:r>
            <w:r>
              <w:t>81</w:t>
            </w:r>
          </w:p>
        </w:tc>
        <w:tc>
          <w:tcPr>
            <w:tcW w:w="1376" w:type="dxa"/>
            <w:tcBorders>
              <w:top w:val="single" w:sz="4" w:space="0" w:color="000000"/>
              <w:bottom w:val="single" w:sz="4" w:space="0" w:color="000000"/>
            </w:tcBorders>
            <w:vAlign w:val="center"/>
          </w:tcPr>
          <w:p w14:paraId="728BB280" w14:textId="77777777" w:rsidR="00DB48E0" w:rsidRDefault="00000000">
            <w:pPr>
              <w:jc w:val="center"/>
              <w:rPr>
                <w:color w:val="000000"/>
              </w:rPr>
            </w:pPr>
            <w:r>
              <w:rPr>
                <w:color w:val="000000"/>
              </w:rPr>
              <w:t>0,</w:t>
            </w:r>
            <w:r>
              <w:t>82</w:t>
            </w:r>
          </w:p>
        </w:tc>
        <w:tc>
          <w:tcPr>
            <w:tcW w:w="951" w:type="dxa"/>
            <w:tcBorders>
              <w:top w:val="single" w:sz="4" w:space="0" w:color="000000"/>
              <w:bottom w:val="single" w:sz="4" w:space="0" w:color="000000"/>
            </w:tcBorders>
            <w:vAlign w:val="center"/>
          </w:tcPr>
          <w:p w14:paraId="744BD0C2" w14:textId="77777777" w:rsidR="00DB48E0" w:rsidRDefault="00000000">
            <w:pPr>
              <w:jc w:val="center"/>
            </w:pPr>
            <w:r>
              <w:rPr>
                <w:color w:val="000000"/>
              </w:rPr>
              <w:t>0,</w:t>
            </w:r>
            <w:r>
              <w:t>92</w:t>
            </w:r>
          </w:p>
        </w:tc>
        <w:tc>
          <w:tcPr>
            <w:tcW w:w="777" w:type="dxa"/>
            <w:tcBorders>
              <w:top w:val="single" w:sz="4" w:space="0" w:color="000000"/>
              <w:bottom w:val="single" w:sz="4" w:space="0" w:color="000000"/>
            </w:tcBorders>
            <w:vAlign w:val="center"/>
          </w:tcPr>
          <w:p w14:paraId="1B9490D9" w14:textId="77777777" w:rsidR="00DB48E0" w:rsidRDefault="00000000">
            <w:pPr>
              <w:jc w:val="center"/>
            </w:pPr>
            <w:r>
              <w:rPr>
                <w:color w:val="000000"/>
              </w:rPr>
              <w:t>0,</w:t>
            </w:r>
            <w:r>
              <w:t>99</w:t>
            </w:r>
          </w:p>
        </w:tc>
        <w:tc>
          <w:tcPr>
            <w:tcW w:w="788" w:type="dxa"/>
            <w:tcBorders>
              <w:top w:val="single" w:sz="4" w:space="0" w:color="000000"/>
              <w:bottom w:val="single" w:sz="4" w:space="0" w:color="000000"/>
            </w:tcBorders>
            <w:vAlign w:val="center"/>
          </w:tcPr>
          <w:p w14:paraId="2D859DBD" w14:textId="77777777" w:rsidR="00DB48E0" w:rsidRDefault="00000000">
            <w:pPr>
              <w:jc w:val="center"/>
            </w:pPr>
            <w:r>
              <w:t>1,09</w:t>
            </w:r>
          </w:p>
        </w:tc>
        <w:tc>
          <w:tcPr>
            <w:tcW w:w="942" w:type="dxa"/>
            <w:tcBorders>
              <w:top w:val="single" w:sz="4" w:space="0" w:color="000000"/>
              <w:bottom w:val="single" w:sz="4" w:space="0" w:color="000000"/>
            </w:tcBorders>
            <w:vAlign w:val="center"/>
          </w:tcPr>
          <w:p w14:paraId="7A012B61" w14:textId="77777777" w:rsidR="00DB48E0" w:rsidRDefault="00000000">
            <w:pPr>
              <w:jc w:val="center"/>
            </w:pPr>
            <w:r>
              <w:t>1,09</w:t>
            </w:r>
          </w:p>
        </w:tc>
      </w:tr>
    </w:tbl>
    <w:p w14:paraId="48A53736" w14:textId="77777777" w:rsidR="00DB48E0" w:rsidRDefault="00000000">
      <w:r>
        <w:t>Source : auteurs, mars 2025.</w:t>
      </w:r>
    </w:p>
    <w:p w14:paraId="0543DB9A" w14:textId="77777777" w:rsidR="00DB48E0" w:rsidRDefault="00000000">
      <w:r>
        <w:t xml:space="preserve">En analysant les données depuis le lancement des différents indices MSCI Europe, nous observons, dans un premier temps, les rentabilités depuis 1999. Nous pouvons constater une forte corrélation entre les titres. La plus faible corrélation se trouve entre le MSCI Europe Momentum et le MSCI Europe Value, égale à 0,76, tandis que la plus forte corrélation est observée entre le MSCI Europe </w:t>
      </w:r>
      <w:proofErr w:type="spellStart"/>
      <w:r>
        <w:t>Growth</w:t>
      </w:r>
      <w:proofErr w:type="spellEnd"/>
      <w:r>
        <w:t xml:space="preserve"> et le MSCI Europe </w:t>
      </w:r>
      <w:proofErr w:type="spellStart"/>
      <w:r>
        <w:t>Quality</w:t>
      </w:r>
      <w:proofErr w:type="spellEnd"/>
      <w:r>
        <w:t>.</w:t>
      </w:r>
    </w:p>
    <w:p w14:paraId="174C5347" w14:textId="77777777" w:rsidR="00DB48E0" w:rsidRDefault="00000000">
      <w:r>
        <w:t>Les résultats ne sont pas surprenants, notamment pour les bêtas des indices Small et Value. En effet, les composants de ces indices sont des sociétés particulièrement sensibles aux cycles économiques. Les sociétés Small Cap, caractérisées par une petite capitalisation boursière, sont souvent en phase de croissance mais présentent également une plus grande volatilité en raison de leur taille et de leur capacité limitée à absorber les chocs économiques. Elles sont donc plus susceptibles de subir des fluctuations importantes en période de récession ou de reprise économique.</w:t>
      </w:r>
    </w:p>
    <w:p w14:paraId="66238456" w14:textId="77777777" w:rsidR="00DB48E0" w:rsidRDefault="00000000">
      <w:r>
        <w:t>Quant aux sociétés Value, elles sont généralement associées à des primes de risque plus élevées et à des valorisations plus faibles. Ces sociétés sont souvent perçues comme étant sous-évaluées par le marché et présentent un potentiel de rendement plus élevé, mais elles sont également très dépendantes du cycle économique. En période de croissance, elles peuvent offrir des rendements substantiels, mais elles peuvent également souffrir davantage en période de ralentissement économique.</w:t>
      </w:r>
    </w:p>
    <w:p w14:paraId="7B98C442" w14:textId="77777777" w:rsidR="00DB48E0" w:rsidRDefault="00000000">
      <w:r>
        <w:t xml:space="preserve">Le bêta de l’indice </w:t>
      </w:r>
      <w:proofErr w:type="spellStart"/>
      <w:r>
        <w:t>Growth</w:t>
      </w:r>
      <w:proofErr w:type="spellEnd"/>
      <w:r>
        <w:t>, qui est de 0,9187, indique que les actions de croissance sont légèrement moins volatiles que le marché global. Cela peut s'expliquer par le fait que ces sociétés investissent souvent dans des secteurs innovants et en expansion, ce qui peut atténuer les effets des cycles économiques traditionnels. Le bêta pour Large, qui est de 0,9902, montre que les grandes capitalisations suivent de près la volatilité du marché. Ces sociétés, souvent bien établies, ont une stabilité relative qui les rend moins sensibles aux fluctuations économiques par rapport aux petites capitalisations.</w:t>
      </w:r>
    </w:p>
    <w:p w14:paraId="2EAE2332" w14:textId="77777777" w:rsidR="00DB48E0" w:rsidRDefault="00000000">
      <w:r>
        <w:t xml:space="preserve">Les bêtas pour les actions Momentum et </w:t>
      </w:r>
      <w:proofErr w:type="spellStart"/>
      <w:r>
        <w:t>Quality</w:t>
      </w:r>
      <w:proofErr w:type="spellEnd"/>
      <w:r>
        <w:t xml:space="preserve">, qui sont respectivement de 0,8204 et 0,8148, indiquent une volatilité réduite par rapport au marché. Les stratégies </w:t>
      </w:r>
      <w:proofErr w:type="spellStart"/>
      <w:r>
        <w:t>momentum</w:t>
      </w:r>
      <w:proofErr w:type="spellEnd"/>
      <w:r>
        <w:t xml:space="preserve"> se concentrent sur les actions ayant récemment bien performé, ce qui peut atténuer les risques liés aux cycles économiques ; cependant, en cas de retournement, les pertes peuvent s’avérer assez élevées. De même, les actions de qualité, souvent caractérisées par une forte rentabilité et un faible endettement, sont généralement mieux positionnées pour résister aux chocs économiques.</w:t>
      </w:r>
    </w:p>
    <w:p w14:paraId="6988FB85" w14:textId="77777777" w:rsidR="00DB48E0" w:rsidRDefault="00000000">
      <w:r>
        <w:t>Enfin, le bêta pour l’indice Low Vol, qui est de 0,6959, indique que les actions à faible volatilité sont beaucoup moins sensibles aux fluctuations du marché. Ces actions sont souvent recherchées pour leur stabilité, surtout en période de turbulences économiques, comme celles du secteur des télécommunications ou de la santé.</w:t>
      </w:r>
    </w:p>
    <w:p w14:paraId="47260CA9" w14:textId="77777777" w:rsidR="00DB48E0" w:rsidRDefault="00000000">
      <w:r>
        <w:lastRenderedPageBreak/>
        <w:t>En conclusion, les bêtas des différents indices reflètent bien les caractéristiques de volatilité et de sensibilité aux cycles économiques des types de sociétés qui les composent. Les investisseurs doivent prendre en compte ces différences pour diversifier leurs portefeuilles et adapter leurs stratégies en fonction des conditions économiques.</w:t>
      </w:r>
    </w:p>
    <w:p w14:paraId="19C08617" w14:textId="77777777" w:rsidR="00DB48E0" w:rsidRDefault="00000000">
      <w:r>
        <w:t xml:space="preserve">Nous pouvons voir que sur la période 1999-fin 2024, il y a eu des écarts de performance. En termes de performance, deux stratégies ont sous-performé par rapport au MSCI Europe : le MSCI Europe Large et Value. Même si la composition des indices évolue au fil du temps, ces indices sont composés pour beaucoup d’entreprises cycliques et notamment de banques qui ont été fortement affectées par la crise des </w:t>
      </w:r>
      <w:proofErr w:type="spellStart"/>
      <w:r>
        <w:t>subprimes</w:t>
      </w:r>
      <w:proofErr w:type="spellEnd"/>
      <w:r>
        <w:t xml:space="preserve"> et de l’euro, une décennie de taux bas et une hausse de la réglementation. Cependant, l’environnement de taux bas a bénéficié aux sociétés Small cap qui ont pu utiliser l’effet de levier afin de financer leur croissance plus rapidement. Malgré le fait que ce facteur ait été réfuté par Fama et French, le facteur </w:t>
      </w:r>
      <w:proofErr w:type="spellStart"/>
      <w:r>
        <w:t>momentum</w:t>
      </w:r>
      <w:proofErr w:type="spellEnd"/>
      <w:r>
        <w:t xml:space="preserve"> est l’un des facteurs avec le meilleur rapport rendement/risque, suivi par les Small cap, puis par le facteur </w:t>
      </w:r>
      <w:proofErr w:type="spellStart"/>
      <w:r>
        <w:t>Quality</w:t>
      </w:r>
      <w:proofErr w:type="spellEnd"/>
      <w:r>
        <w:t xml:space="preserve"> et Low Vol.</w:t>
      </w:r>
    </w:p>
    <w:p w14:paraId="09E4D9E7" w14:textId="533450E3" w:rsidR="00DB48E0" w:rsidRDefault="00A27748" w:rsidP="00A27748">
      <w:pPr>
        <w:pStyle w:val="Lgende"/>
        <w:rPr>
          <w:b w:val="0"/>
          <w:color w:val="000000"/>
        </w:rPr>
      </w:pPr>
      <w:bookmarkStart w:id="27" w:name="_heading=h.scep8j87q2i3" w:colFirst="0" w:colLast="0"/>
      <w:bookmarkStart w:id="28" w:name="_Toc194078595"/>
      <w:bookmarkEnd w:id="27"/>
      <w:r>
        <w:t xml:space="preserve">Tableau </w:t>
      </w:r>
      <w:fldSimple w:instr=" SEQ Tableau \* ARABIC ">
        <w:r w:rsidR="004D7D3B">
          <w:rPr>
            <w:noProof/>
          </w:rPr>
          <w:t>5</w:t>
        </w:r>
      </w:fldSimple>
      <w:r>
        <w:rPr>
          <w:color w:val="000000"/>
        </w:rPr>
        <w:t>. Application du modèle à 5 facteurs de Fama et French</w:t>
      </w:r>
      <w:bookmarkEnd w:id="28"/>
    </w:p>
    <w:tbl>
      <w:tblPr>
        <w:tblStyle w:val="a3"/>
        <w:tblW w:w="8787"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205"/>
        <w:gridCol w:w="972"/>
        <w:gridCol w:w="788"/>
        <w:gridCol w:w="1380"/>
        <w:gridCol w:w="953"/>
        <w:gridCol w:w="779"/>
        <w:gridCol w:w="790"/>
        <w:gridCol w:w="949"/>
        <w:gridCol w:w="971"/>
      </w:tblGrid>
      <w:tr w:rsidR="00DB48E0" w14:paraId="114885B3" w14:textId="77777777">
        <w:trPr>
          <w:jc w:val="center"/>
        </w:trPr>
        <w:tc>
          <w:tcPr>
            <w:tcW w:w="1205" w:type="dxa"/>
            <w:tcBorders>
              <w:top w:val="single" w:sz="4" w:space="0" w:color="000000"/>
              <w:bottom w:val="single" w:sz="4" w:space="0" w:color="000000"/>
            </w:tcBorders>
            <w:vAlign w:val="center"/>
          </w:tcPr>
          <w:p w14:paraId="2B883994" w14:textId="77777777" w:rsidR="00DB48E0" w:rsidRDefault="00DB48E0">
            <w:pPr>
              <w:jc w:val="left"/>
            </w:pPr>
          </w:p>
        </w:tc>
        <w:tc>
          <w:tcPr>
            <w:tcW w:w="972" w:type="dxa"/>
            <w:tcBorders>
              <w:top w:val="single" w:sz="4" w:space="0" w:color="000000"/>
              <w:bottom w:val="single" w:sz="4" w:space="0" w:color="000000"/>
            </w:tcBorders>
            <w:vAlign w:val="center"/>
          </w:tcPr>
          <w:p w14:paraId="2415A142" w14:textId="77777777" w:rsidR="00DB48E0" w:rsidRDefault="00000000">
            <w:pPr>
              <w:jc w:val="center"/>
            </w:pPr>
            <w:proofErr w:type="spellStart"/>
            <w:r>
              <w:rPr>
                <w:color w:val="000000"/>
              </w:rPr>
              <w:t>Growth</w:t>
            </w:r>
            <w:proofErr w:type="spellEnd"/>
          </w:p>
        </w:tc>
        <w:tc>
          <w:tcPr>
            <w:tcW w:w="788" w:type="dxa"/>
            <w:tcBorders>
              <w:top w:val="single" w:sz="4" w:space="0" w:color="000000"/>
              <w:bottom w:val="single" w:sz="4" w:space="0" w:color="000000"/>
            </w:tcBorders>
            <w:vAlign w:val="center"/>
          </w:tcPr>
          <w:p w14:paraId="6CD8272F" w14:textId="77777777" w:rsidR="00DB48E0" w:rsidRDefault="00000000">
            <w:pPr>
              <w:jc w:val="center"/>
            </w:pPr>
            <w:r>
              <w:rPr>
                <w:color w:val="000000"/>
              </w:rPr>
              <w:t>Large</w:t>
            </w:r>
          </w:p>
        </w:tc>
        <w:tc>
          <w:tcPr>
            <w:tcW w:w="1380" w:type="dxa"/>
            <w:tcBorders>
              <w:top w:val="single" w:sz="4" w:space="0" w:color="000000"/>
              <w:bottom w:val="single" w:sz="4" w:space="0" w:color="000000"/>
            </w:tcBorders>
            <w:vAlign w:val="center"/>
          </w:tcPr>
          <w:p w14:paraId="3B64177B" w14:textId="77777777" w:rsidR="00DB48E0" w:rsidRDefault="00000000">
            <w:pPr>
              <w:jc w:val="center"/>
            </w:pPr>
            <w:r>
              <w:rPr>
                <w:color w:val="000000"/>
              </w:rPr>
              <w:t>Momentum</w:t>
            </w:r>
          </w:p>
        </w:tc>
        <w:tc>
          <w:tcPr>
            <w:tcW w:w="953" w:type="dxa"/>
            <w:tcBorders>
              <w:top w:val="single" w:sz="4" w:space="0" w:color="000000"/>
              <w:bottom w:val="single" w:sz="4" w:space="0" w:color="000000"/>
            </w:tcBorders>
            <w:vAlign w:val="center"/>
          </w:tcPr>
          <w:p w14:paraId="09E5A89F" w14:textId="77777777" w:rsidR="00DB48E0" w:rsidRDefault="00000000">
            <w:pPr>
              <w:jc w:val="center"/>
            </w:pPr>
            <w:proofErr w:type="spellStart"/>
            <w:r>
              <w:rPr>
                <w:color w:val="000000"/>
              </w:rPr>
              <w:t>Quality</w:t>
            </w:r>
            <w:proofErr w:type="spellEnd"/>
          </w:p>
        </w:tc>
        <w:tc>
          <w:tcPr>
            <w:tcW w:w="779" w:type="dxa"/>
            <w:tcBorders>
              <w:top w:val="single" w:sz="4" w:space="0" w:color="000000"/>
              <w:bottom w:val="single" w:sz="4" w:space="0" w:color="000000"/>
            </w:tcBorders>
            <w:vAlign w:val="center"/>
          </w:tcPr>
          <w:p w14:paraId="4A82948F" w14:textId="77777777" w:rsidR="00DB48E0" w:rsidRDefault="00000000">
            <w:pPr>
              <w:jc w:val="center"/>
            </w:pPr>
            <w:r>
              <w:rPr>
                <w:color w:val="000000"/>
              </w:rPr>
              <w:t>Small</w:t>
            </w:r>
          </w:p>
        </w:tc>
        <w:tc>
          <w:tcPr>
            <w:tcW w:w="790" w:type="dxa"/>
            <w:tcBorders>
              <w:top w:val="single" w:sz="4" w:space="0" w:color="000000"/>
              <w:bottom w:val="single" w:sz="4" w:space="0" w:color="000000"/>
            </w:tcBorders>
            <w:vAlign w:val="center"/>
          </w:tcPr>
          <w:p w14:paraId="0E89FFA7" w14:textId="77777777" w:rsidR="00DB48E0" w:rsidRDefault="00000000">
            <w:pPr>
              <w:jc w:val="center"/>
            </w:pPr>
            <w:r>
              <w:rPr>
                <w:color w:val="000000"/>
              </w:rPr>
              <w:t>Value</w:t>
            </w:r>
          </w:p>
        </w:tc>
        <w:tc>
          <w:tcPr>
            <w:tcW w:w="949" w:type="dxa"/>
            <w:tcBorders>
              <w:top w:val="single" w:sz="4" w:space="0" w:color="000000"/>
              <w:bottom w:val="single" w:sz="4" w:space="0" w:color="000000"/>
            </w:tcBorders>
            <w:vAlign w:val="center"/>
          </w:tcPr>
          <w:p w14:paraId="5F216B01" w14:textId="77777777" w:rsidR="00DB48E0" w:rsidRDefault="00000000">
            <w:pPr>
              <w:jc w:val="center"/>
            </w:pPr>
            <w:proofErr w:type="spellStart"/>
            <w:r>
              <w:rPr>
                <w:color w:val="000000"/>
              </w:rPr>
              <w:t>Market</w:t>
            </w:r>
            <w:proofErr w:type="spellEnd"/>
          </w:p>
        </w:tc>
        <w:tc>
          <w:tcPr>
            <w:tcW w:w="971" w:type="dxa"/>
            <w:tcBorders>
              <w:top w:val="single" w:sz="4" w:space="0" w:color="000000"/>
              <w:bottom w:val="single" w:sz="4" w:space="0" w:color="000000"/>
            </w:tcBorders>
            <w:vAlign w:val="center"/>
          </w:tcPr>
          <w:p w14:paraId="2012EE31" w14:textId="77777777" w:rsidR="00DB48E0" w:rsidRDefault="00000000">
            <w:pPr>
              <w:jc w:val="center"/>
            </w:pPr>
            <w:r>
              <w:t>Low Vol</w:t>
            </w:r>
          </w:p>
        </w:tc>
      </w:tr>
      <w:tr w:rsidR="00DB48E0" w14:paraId="62E0BF22" w14:textId="77777777">
        <w:trPr>
          <w:trHeight w:val="170"/>
          <w:jc w:val="center"/>
        </w:trPr>
        <w:tc>
          <w:tcPr>
            <w:tcW w:w="1205" w:type="dxa"/>
            <w:tcBorders>
              <w:top w:val="single" w:sz="4" w:space="0" w:color="000000"/>
            </w:tcBorders>
          </w:tcPr>
          <w:p w14:paraId="263DEAD6" w14:textId="77777777" w:rsidR="00DB48E0" w:rsidRDefault="00000000">
            <w:r>
              <w:rPr>
                <w:color w:val="000000"/>
              </w:rPr>
              <w:t>Alpha</w:t>
            </w:r>
          </w:p>
        </w:tc>
        <w:tc>
          <w:tcPr>
            <w:tcW w:w="972" w:type="dxa"/>
            <w:tcBorders>
              <w:top w:val="single" w:sz="4" w:space="0" w:color="000000"/>
            </w:tcBorders>
            <w:vAlign w:val="center"/>
          </w:tcPr>
          <w:p w14:paraId="3066E02C" w14:textId="77777777" w:rsidR="00DB48E0" w:rsidRDefault="00000000">
            <w:pPr>
              <w:jc w:val="center"/>
              <w:rPr>
                <w:color w:val="000000"/>
              </w:rPr>
            </w:pPr>
            <w:r>
              <w:rPr>
                <w:color w:val="000000"/>
              </w:rPr>
              <w:t>0,00</w:t>
            </w:r>
          </w:p>
        </w:tc>
        <w:tc>
          <w:tcPr>
            <w:tcW w:w="788" w:type="dxa"/>
            <w:tcBorders>
              <w:top w:val="single" w:sz="4" w:space="0" w:color="000000"/>
            </w:tcBorders>
            <w:vAlign w:val="center"/>
          </w:tcPr>
          <w:p w14:paraId="75B2B5F2" w14:textId="77777777" w:rsidR="00DB48E0" w:rsidRDefault="00000000">
            <w:pPr>
              <w:jc w:val="center"/>
              <w:rPr>
                <w:color w:val="000000"/>
              </w:rPr>
            </w:pPr>
            <w:r>
              <w:rPr>
                <w:color w:val="000000"/>
              </w:rPr>
              <w:t>0,00</w:t>
            </w:r>
          </w:p>
        </w:tc>
        <w:tc>
          <w:tcPr>
            <w:tcW w:w="1380" w:type="dxa"/>
            <w:tcBorders>
              <w:top w:val="single" w:sz="4" w:space="0" w:color="000000"/>
            </w:tcBorders>
            <w:vAlign w:val="center"/>
          </w:tcPr>
          <w:p w14:paraId="63FB0D6E" w14:textId="77777777" w:rsidR="00DB48E0" w:rsidRDefault="00000000">
            <w:pPr>
              <w:jc w:val="center"/>
              <w:rPr>
                <w:color w:val="000000"/>
              </w:rPr>
            </w:pPr>
            <w:r>
              <w:rPr>
                <w:color w:val="000000"/>
              </w:rPr>
              <w:t>0,00</w:t>
            </w:r>
          </w:p>
        </w:tc>
        <w:tc>
          <w:tcPr>
            <w:tcW w:w="953" w:type="dxa"/>
            <w:tcBorders>
              <w:top w:val="single" w:sz="4" w:space="0" w:color="000000"/>
            </w:tcBorders>
            <w:vAlign w:val="center"/>
          </w:tcPr>
          <w:p w14:paraId="313F335E" w14:textId="77777777" w:rsidR="00DB48E0" w:rsidRDefault="00000000">
            <w:pPr>
              <w:jc w:val="center"/>
            </w:pPr>
            <w:r>
              <w:rPr>
                <w:color w:val="000000"/>
              </w:rPr>
              <w:t>0,00</w:t>
            </w:r>
          </w:p>
        </w:tc>
        <w:tc>
          <w:tcPr>
            <w:tcW w:w="779" w:type="dxa"/>
            <w:tcBorders>
              <w:top w:val="single" w:sz="4" w:space="0" w:color="000000"/>
            </w:tcBorders>
            <w:vAlign w:val="center"/>
          </w:tcPr>
          <w:p w14:paraId="60A26108" w14:textId="77777777" w:rsidR="00DB48E0" w:rsidRDefault="00000000">
            <w:pPr>
              <w:jc w:val="center"/>
            </w:pPr>
            <w:r>
              <w:rPr>
                <w:color w:val="000000"/>
              </w:rPr>
              <w:t>0,00</w:t>
            </w:r>
          </w:p>
        </w:tc>
        <w:tc>
          <w:tcPr>
            <w:tcW w:w="790" w:type="dxa"/>
            <w:tcBorders>
              <w:top w:val="single" w:sz="4" w:space="0" w:color="000000"/>
            </w:tcBorders>
            <w:vAlign w:val="center"/>
          </w:tcPr>
          <w:p w14:paraId="50715F79" w14:textId="77777777" w:rsidR="00DB48E0" w:rsidRDefault="00000000">
            <w:pPr>
              <w:jc w:val="center"/>
            </w:pPr>
            <w:r>
              <w:rPr>
                <w:color w:val="000000"/>
              </w:rPr>
              <w:t>0,00</w:t>
            </w:r>
          </w:p>
        </w:tc>
        <w:tc>
          <w:tcPr>
            <w:tcW w:w="949" w:type="dxa"/>
            <w:tcBorders>
              <w:top w:val="single" w:sz="4" w:space="0" w:color="000000"/>
            </w:tcBorders>
            <w:vAlign w:val="center"/>
          </w:tcPr>
          <w:p w14:paraId="2868908E" w14:textId="77777777" w:rsidR="00DB48E0" w:rsidRDefault="00000000">
            <w:pPr>
              <w:jc w:val="center"/>
            </w:pPr>
            <w:r>
              <w:rPr>
                <w:color w:val="000000"/>
              </w:rPr>
              <w:t>0,00</w:t>
            </w:r>
          </w:p>
        </w:tc>
        <w:tc>
          <w:tcPr>
            <w:tcW w:w="971" w:type="dxa"/>
            <w:tcBorders>
              <w:top w:val="single" w:sz="4" w:space="0" w:color="000000"/>
            </w:tcBorders>
            <w:vAlign w:val="center"/>
          </w:tcPr>
          <w:p w14:paraId="4E7E6B21" w14:textId="77777777" w:rsidR="00DB48E0" w:rsidRDefault="00000000">
            <w:pPr>
              <w:jc w:val="center"/>
            </w:pPr>
            <w:r>
              <w:rPr>
                <w:color w:val="000000"/>
              </w:rPr>
              <w:t>0,00</w:t>
            </w:r>
          </w:p>
        </w:tc>
      </w:tr>
      <w:tr w:rsidR="00DB48E0" w14:paraId="262BD075" w14:textId="77777777">
        <w:trPr>
          <w:trHeight w:val="170"/>
          <w:jc w:val="center"/>
        </w:trPr>
        <w:tc>
          <w:tcPr>
            <w:tcW w:w="1205" w:type="dxa"/>
          </w:tcPr>
          <w:p w14:paraId="631155A3" w14:textId="77777777" w:rsidR="00DB48E0" w:rsidRDefault="00000000">
            <w:pPr>
              <w:spacing w:before="0"/>
            </w:pPr>
            <w:proofErr w:type="spellStart"/>
            <w:r>
              <w:rPr>
                <w:color w:val="000000"/>
              </w:rPr>
              <w:t>Mkt</w:t>
            </w:r>
            <w:proofErr w:type="spellEnd"/>
            <w:r>
              <w:rPr>
                <w:color w:val="000000"/>
              </w:rPr>
              <w:t>-RF</w:t>
            </w:r>
          </w:p>
        </w:tc>
        <w:tc>
          <w:tcPr>
            <w:tcW w:w="972" w:type="dxa"/>
            <w:vAlign w:val="center"/>
          </w:tcPr>
          <w:p w14:paraId="2B0F49B3" w14:textId="77777777" w:rsidR="00DB48E0" w:rsidRDefault="00000000">
            <w:pPr>
              <w:spacing w:before="0"/>
              <w:jc w:val="center"/>
              <w:rPr>
                <w:color w:val="000000"/>
              </w:rPr>
            </w:pPr>
            <w:r>
              <w:rPr>
                <w:color w:val="000000"/>
              </w:rPr>
              <w:t>0,61</w:t>
            </w:r>
          </w:p>
        </w:tc>
        <w:tc>
          <w:tcPr>
            <w:tcW w:w="788" w:type="dxa"/>
            <w:vAlign w:val="center"/>
          </w:tcPr>
          <w:p w14:paraId="048B18B2" w14:textId="77777777" w:rsidR="00DB48E0" w:rsidRDefault="00000000">
            <w:pPr>
              <w:spacing w:before="0"/>
              <w:jc w:val="center"/>
              <w:rPr>
                <w:color w:val="000000"/>
              </w:rPr>
            </w:pPr>
            <w:r>
              <w:rPr>
                <w:color w:val="000000"/>
              </w:rPr>
              <w:t>0,62</w:t>
            </w:r>
          </w:p>
        </w:tc>
        <w:tc>
          <w:tcPr>
            <w:tcW w:w="1380" w:type="dxa"/>
            <w:vAlign w:val="center"/>
          </w:tcPr>
          <w:p w14:paraId="673F0EC6" w14:textId="77777777" w:rsidR="00DB48E0" w:rsidRDefault="00000000">
            <w:pPr>
              <w:spacing w:before="0"/>
              <w:jc w:val="center"/>
              <w:rPr>
                <w:color w:val="000000"/>
              </w:rPr>
            </w:pPr>
            <w:r>
              <w:rPr>
                <w:color w:val="000000"/>
              </w:rPr>
              <w:t>0,55</w:t>
            </w:r>
          </w:p>
        </w:tc>
        <w:tc>
          <w:tcPr>
            <w:tcW w:w="953" w:type="dxa"/>
            <w:vAlign w:val="center"/>
          </w:tcPr>
          <w:p w14:paraId="79269EEA" w14:textId="77777777" w:rsidR="00DB48E0" w:rsidRDefault="00000000">
            <w:pPr>
              <w:spacing w:before="0"/>
              <w:jc w:val="center"/>
            </w:pPr>
            <w:r>
              <w:rPr>
                <w:color w:val="000000"/>
              </w:rPr>
              <w:t>0,55</w:t>
            </w:r>
          </w:p>
        </w:tc>
        <w:tc>
          <w:tcPr>
            <w:tcW w:w="779" w:type="dxa"/>
            <w:vAlign w:val="center"/>
          </w:tcPr>
          <w:p w14:paraId="59AB60CE" w14:textId="77777777" w:rsidR="00DB48E0" w:rsidRDefault="00000000">
            <w:pPr>
              <w:spacing w:before="0"/>
              <w:jc w:val="center"/>
            </w:pPr>
            <w:r>
              <w:rPr>
                <w:color w:val="000000"/>
              </w:rPr>
              <w:t>0,75</w:t>
            </w:r>
          </w:p>
        </w:tc>
        <w:tc>
          <w:tcPr>
            <w:tcW w:w="790" w:type="dxa"/>
            <w:vAlign w:val="center"/>
          </w:tcPr>
          <w:p w14:paraId="1EADAAF6" w14:textId="77777777" w:rsidR="00DB48E0" w:rsidRDefault="00000000">
            <w:pPr>
              <w:spacing w:before="0"/>
              <w:jc w:val="center"/>
            </w:pPr>
            <w:r>
              <w:rPr>
                <w:color w:val="000000"/>
              </w:rPr>
              <w:t>0,66</w:t>
            </w:r>
          </w:p>
        </w:tc>
        <w:tc>
          <w:tcPr>
            <w:tcW w:w="949" w:type="dxa"/>
            <w:vAlign w:val="center"/>
          </w:tcPr>
          <w:p w14:paraId="078456F8" w14:textId="77777777" w:rsidR="00DB48E0" w:rsidRDefault="00000000">
            <w:pPr>
              <w:spacing w:before="0"/>
              <w:jc w:val="center"/>
            </w:pPr>
            <w:r>
              <w:rPr>
                <w:color w:val="000000"/>
              </w:rPr>
              <w:t>0,64</w:t>
            </w:r>
          </w:p>
        </w:tc>
        <w:tc>
          <w:tcPr>
            <w:tcW w:w="971" w:type="dxa"/>
            <w:vAlign w:val="center"/>
          </w:tcPr>
          <w:p w14:paraId="7B091306" w14:textId="77777777" w:rsidR="00DB48E0" w:rsidRDefault="00000000">
            <w:pPr>
              <w:spacing w:before="0"/>
              <w:jc w:val="center"/>
            </w:pPr>
            <w:r>
              <w:rPr>
                <w:color w:val="000000"/>
              </w:rPr>
              <w:t>0,48</w:t>
            </w:r>
          </w:p>
        </w:tc>
      </w:tr>
      <w:tr w:rsidR="00DB48E0" w14:paraId="712EC927" w14:textId="77777777">
        <w:trPr>
          <w:trHeight w:val="170"/>
          <w:jc w:val="center"/>
        </w:trPr>
        <w:tc>
          <w:tcPr>
            <w:tcW w:w="1205" w:type="dxa"/>
          </w:tcPr>
          <w:p w14:paraId="79E8D4F8" w14:textId="77777777" w:rsidR="00DB48E0" w:rsidRDefault="00000000">
            <w:pPr>
              <w:spacing w:before="0"/>
            </w:pPr>
            <w:r>
              <w:rPr>
                <w:color w:val="000000"/>
              </w:rPr>
              <w:t>SMB</w:t>
            </w:r>
          </w:p>
        </w:tc>
        <w:tc>
          <w:tcPr>
            <w:tcW w:w="972" w:type="dxa"/>
            <w:vAlign w:val="center"/>
          </w:tcPr>
          <w:p w14:paraId="743F1E55" w14:textId="77777777" w:rsidR="00DB48E0" w:rsidRDefault="00000000">
            <w:pPr>
              <w:spacing w:before="0"/>
              <w:jc w:val="center"/>
              <w:rPr>
                <w:color w:val="000000"/>
              </w:rPr>
            </w:pPr>
            <w:r>
              <w:rPr>
                <w:color w:val="000000"/>
              </w:rPr>
              <w:t>-0,34</w:t>
            </w:r>
          </w:p>
        </w:tc>
        <w:tc>
          <w:tcPr>
            <w:tcW w:w="788" w:type="dxa"/>
            <w:vAlign w:val="center"/>
          </w:tcPr>
          <w:p w14:paraId="347BA6FB" w14:textId="77777777" w:rsidR="00DB48E0" w:rsidRDefault="00000000">
            <w:pPr>
              <w:spacing w:before="0"/>
              <w:jc w:val="center"/>
              <w:rPr>
                <w:color w:val="000000"/>
              </w:rPr>
            </w:pPr>
            <w:r>
              <w:rPr>
                <w:color w:val="000000"/>
              </w:rPr>
              <w:t>-0,43</w:t>
            </w:r>
          </w:p>
        </w:tc>
        <w:tc>
          <w:tcPr>
            <w:tcW w:w="1380" w:type="dxa"/>
            <w:vAlign w:val="center"/>
          </w:tcPr>
          <w:p w14:paraId="06C1A7A8" w14:textId="77777777" w:rsidR="00DB48E0" w:rsidRDefault="00000000">
            <w:pPr>
              <w:spacing w:before="0"/>
              <w:jc w:val="center"/>
              <w:rPr>
                <w:color w:val="000000"/>
              </w:rPr>
            </w:pPr>
            <w:r>
              <w:rPr>
                <w:color w:val="000000"/>
              </w:rPr>
              <w:t>-0,14</w:t>
            </w:r>
          </w:p>
        </w:tc>
        <w:tc>
          <w:tcPr>
            <w:tcW w:w="953" w:type="dxa"/>
            <w:vAlign w:val="center"/>
          </w:tcPr>
          <w:p w14:paraId="4E497B8C" w14:textId="77777777" w:rsidR="00DB48E0" w:rsidRDefault="00000000">
            <w:pPr>
              <w:spacing w:before="0"/>
              <w:jc w:val="center"/>
            </w:pPr>
            <w:r>
              <w:rPr>
                <w:color w:val="000000"/>
              </w:rPr>
              <w:t>-0,29</w:t>
            </w:r>
          </w:p>
        </w:tc>
        <w:tc>
          <w:tcPr>
            <w:tcW w:w="779" w:type="dxa"/>
            <w:vAlign w:val="center"/>
          </w:tcPr>
          <w:p w14:paraId="74158771" w14:textId="77777777" w:rsidR="00DB48E0" w:rsidRDefault="00000000">
            <w:pPr>
              <w:spacing w:before="0"/>
              <w:jc w:val="center"/>
            </w:pPr>
            <w:r>
              <w:rPr>
                <w:color w:val="000000"/>
              </w:rPr>
              <w:t>0,60</w:t>
            </w:r>
          </w:p>
        </w:tc>
        <w:tc>
          <w:tcPr>
            <w:tcW w:w="790" w:type="dxa"/>
            <w:vAlign w:val="center"/>
          </w:tcPr>
          <w:p w14:paraId="78F9F53B" w14:textId="77777777" w:rsidR="00DB48E0" w:rsidRDefault="00000000">
            <w:pPr>
              <w:spacing w:before="0"/>
              <w:jc w:val="center"/>
            </w:pPr>
            <w:r>
              <w:rPr>
                <w:color w:val="000000"/>
              </w:rPr>
              <w:t>-0,37</w:t>
            </w:r>
          </w:p>
        </w:tc>
        <w:tc>
          <w:tcPr>
            <w:tcW w:w="949" w:type="dxa"/>
            <w:vAlign w:val="center"/>
          </w:tcPr>
          <w:p w14:paraId="2841C9F4" w14:textId="77777777" w:rsidR="00DB48E0" w:rsidRDefault="00000000">
            <w:pPr>
              <w:spacing w:before="0"/>
              <w:jc w:val="center"/>
            </w:pPr>
            <w:r>
              <w:rPr>
                <w:color w:val="000000"/>
              </w:rPr>
              <w:t>-0,35</w:t>
            </w:r>
          </w:p>
        </w:tc>
        <w:tc>
          <w:tcPr>
            <w:tcW w:w="971" w:type="dxa"/>
            <w:vAlign w:val="center"/>
          </w:tcPr>
          <w:p w14:paraId="7EED504E" w14:textId="77777777" w:rsidR="00DB48E0" w:rsidRDefault="00000000">
            <w:pPr>
              <w:spacing w:before="0"/>
              <w:jc w:val="center"/>
            </w:pPr>
            <w:r>
              <w:rPr>
                <w:color w:val="000000"/>
              </w:rPr>
              <w:t>-0,24</w:t>
            </w:r>
          </w:p>
        </w:tc>
      </w:tr>
      <w:tr w:rsidR="00DB48E0" w14:paraId="20F50C19" w14:textId="77777777">
        <w:trPr>
          <w:trHeight w:val="170"/>
          <w:jc w:val="center"/>
        </w:trPr>
        <w:tc>
          <w:tcPr>
            <w:tcW w:w="1205" w:type="dxa"/>
          </w:tcPr>
          <w:p w14:paraId="2AE7D115" w14:textId="77777777" w:rsidR="00DB48E0" w:rsidRDefault="00000000">
            <w:pPr>
              <w:spacing w:before="0"/>
            </w:pPr>
            <w:r>
              <w:rPr>
                <w:color w:val="000000"/>
              </w:rPr>
              <w:t>HML</w:t>
            </w:r>
          </w:p>
        </w:tc>
        <w:tc>
          <w:tcPr>
            <w:tcW w:w="972" w:type="dxa"/>
            <w:vAlign w:val="center"/>
          </w:tcPr>
          <w:p w14:paraId="1A4CEC78" w14:textId="77777777" w:rsidR="00DB48E0" w:rsidRDefault="00000000">
            <w:pPr>
              <w:spacing w:before="0"/>
              <w:jc w:val="center"/>
              <w:rPr>
                <w:color w:val="000000"/>
              </w:rPr>
            </w:pPr>
            <w:r>
              <w:rPr>
                <w:color w:val="000000"/>
              </w:rPr>
              <w:t>-0,21</w:t>
            </w:r>
          </w:p>
        </w:tc>
        <w:tc>
          <w:tcPr>
            <w:tcW w:w="788" w:type="dxa"/>
            <w:vAlign w:val="center"/>
          </w:tcPr>
          <w:p w14:paraId="14188945" w14:textId="77777777" w:rsidR="00DB48E0" w:rsidRDefault="00000000">
            <w:pPr>
              <w:spacing w:before="0"/>
              <w:jc w:val="center"/>
              <w:rPr>
                <w:color w:val="000000"/>
              </w:rPr>
            </w:pPr>
            <w:r>
              <w:rPr>
                <w:color w:val="000000"/>
              </w:rPr>
              <w:t>0,12</w:t>
            </w:r>
          </w:p>
        </w:tc>
        <w:tc>
          <w:tcPr>
            <w:tcW w:w="1380" w:type="dxa"/>
            <w:vAlign w:val="center"/>
          </w:tcPr>
          <w:p w14:paraId="0C56CF19" w14:textId="77777777" w:rsidR="00DB48E0" w:rsidRDefault="00000000">
            <w:pPr>
              <w:spacing w:before="0"/>
              <w:jc w:val="center"/>
              <w:rPr>
                <w:color w:val="000000"/>
              </w:rPr>
            </w:pPr>
            <w:r>
              <w:rPr>
                <w:color w:val="000000"/>
              </w:rPr>
              <w:t>-0,07</w:t>
            </w:r>
          </w:p>
        </w:tc>
        <w:tc>
          <w:tcPr>
            <w:tcW w:w="953" w:type="dxa"/>
            <w:vAlign w:val="center"/>
          </w:tcPr>
          <w:p w14:paraId="795399F1" w14:textId="77777777" w:rsidR="00DB48E0" w:rsidRDefault="00000000">
            <w:pPr>
              <w:spacing w:before="0"/>
              <w:jc w:val="center"/>
            </w:pPr>
            <w:r>
              <w:rPr>
                <w:color w:val="000000"/>
              </w:rPr>
              <w:t>-0,14</w:t>
            </w:r>
          </w:p>
        </w:tc>
        <w:tc>
          <w:tcPr>
            <w:tcW w:w="779" w:type="dxa"/>
            <w:vAlign w:val="center"/>
          </w:tcPr>
          <w:p w14:paraId="1745A4AB" w14:textId="77777777" w:rsidR="00DB48E0" w:rsidRDefault="00000000">
            <w:pPr>
              <w:spacing w:before="0"/>
              <w:jc w:val="center"/>
            </w:pPr>
            <w:r>
              <w:rPr>
                <w:color w:val="000000"/>
              </w:rPr>
              <w:t>0,21</w:t>
            </w:r>
          </w:p>
        </w:tc>
        <w:tc>
          <w:tcPr>
            <w:tcW w:w="790" w:type="dxa"/>
            <w:vAlign w:val="center"/>
          </w:tcPr>
          <w:p w14:paraId="65CB002C" w14:textId="77777777" w:rsidR="00DB48E0" w:rsidRDefault="00000000">
            <w:pPr>
              <w:spacing w:before="0"/>
              <w:jc w:val="center"/>
            </w:pPr>
            <w:r>
              <w:rPr>
                <w:color w:val="000000"/>
              </w:rPr>
              <w:t>0,49</w:t>
            </w:r>
          </w:p>
        </w:tc>
        <w:tc>
          <w:tcPr>
            <w:tcW w:w="949" w:type="dxa"/>
            <w:vAlign w:val="center"/>
          </w:tcPr>
          <w:p w14:paraId="37D27FD6" w14:textId="77777777" w:rsidR="00DB48E0" w:rsidRDefault="00000000">
            <w:pPr>
              <w:spacing w:before="0"/>
              <w:jc w:val="center"/>
            </w:pPr>
            <w:r>
              <w:rPr>
                <w:color w:val="000000"/>
              </w:rPr>
              <w:t>0,13</w:t>
            </w:r>
          </w:p>
        </w:tc>
        <w:tc>
          <w:tcPr>
            <w:tcW w:w="971" w:type="dxa"/>
            <w:vAlign w:val="center"/>
          </w:tcPr>
          <w:p w14:paraId="217F0524" w14:textId="77777777" w:rsidR="00DB48E0" w:rsidRDefault="00000000">
            <w:pPr>
              <w:spacing w:before="0"/>
              <w:jc w:val="center"/>
            </w:pPr>
            <w:r>
              <w:rPr>
                <w:color w:val="000000"/>
              </w:rPr>
              <w:t>-0,03</w:t>
            </w:r>
          </w:p>
        </w:tc>
      </w:tr>
      <w:tr w:rsidR="00DB48E0" w14:paraId="36AF81C2" w14:textId="77777777">
        <w:trPr>
          <w:trHeight w:val="170"/>
          <w:jc w:val="center"/>
        </w:trPr>
        <w:tc>
          <w:tcPr>
            <w:tcW w:w="1205" w:type="dxa"/>
          </w:tcPr>
          <w:p w14:paraId="73DDE2A3" w14:textId="77777777" w:rsidR="00DB48E0" w:rsidRDefault="00000000">
            <w:pPr>
              <w:spacing w:before="0"/>
            </w:pPr>
            <w:r>
              <w:rPr>
                <w:color w:val="000000"/>
              </w:rPr>
              <w:t>RMW</w:t>
            </w:r>
          </w:p>
        </w:tc>
        <w:tc>
          <w:tcPr>
            <w:tcW w:w="972" w:type="dxa"/>
            <w:vAlign w:val="center"/>
          </w:tcPr>
          <w:p w14:paraId="224C72F7" w14:textId="77777777" w:rsidR="00DB48E0" w:rsidRDefault="00000000">
            <w:pPr>
              <w:spacing w:before="0"/>
              <w:jc w:val="center"/>
              <w:rPr>
                <w:color w:val="000000"/>
              </w:rPr>
            </w:pPr>
            <w:r>
              <w:rPr>
                <w:color w:val="000000"/>
              </w:rPr>
              <w:t>0,09</w:t>
            </w:r>
          </w:p>
        </w:tc>
        <w:tc>
          <w:tcPr>
            <w:tcW w:w="788" w:type="dxa"/>
            <w:vAlign w:val="center"/>
          </w:tcPr>
          <w:p w14:paraId="69E328FF" w14:textId="77777777" w:rsidR="00DB48E0" w:rsidRDefault="00000000">
            <w:pPr>
              <w:spacing w:before="0"/>
              <w:jc w:val="center"/>
              <w:rPr>
                <w:color w:val="000000"/>
              </w:rPr>
            </w:pPr>
            <w:r>
              <w:rPr>
                <w:color w:val="000000"/>
              </w:rPr>
              <w:t>-0,06</w:t>
            </w:r>
          </w:p>
        </w:tc>
        <w:tc>
          <w:tcPr>
            <w:tcW w:w="1380" w:type="dxa"/>
            <w:vAlign w:val="center"/>
          </w:tcPr>
          <w:p w14:paraId="4AA8B27A" w14:textId="77777777" w:rsidR="00DB48E0" w:rsidRDefault="00000000">
            <w:pPr>
              <w:spacing w:before="0"/>
              <w:jc w:val="center"/>
              <w:rPr>
                <w:color w:val="000000"/>
              </w:rPr>
            </w:pPr>
            <w:r>
              <w:rPr>
                <w:color w:val="000000"/>
              </w:rPr>
              <w:t>0,28</w:t>
            </w:r>
          </w:p>
        </w:tc>
        <w:tc>
          <w:tcPr>
            <w:tcW w:w="953" w:type="dxa"/>
            <w:vAlign w:val="center"/>
          </w:tcPr>
          <w:p w14:paraId="44D3C51E" w14:textId="77777777" w:rsidR="00DB48E0" w:rsidRDefault="00000000">
            <w:pPr>
              <w:spacing w:before="0"/>
              <w:jc w:val="center"/>
            </w:pPr>
            <w:r>
              <w:rPr>
                <w:color w:val="000000"/>
              </w:rPr>
              <w:t>0,35</w:t>
            </w:r>
          </w:p>
        </w:tc>
        <w:tc>
          <w:tcPr>
            <w:tcW w:w="779" w:type="dxa"/>
            <w:vAlign w:val="center"/>
          </w:tcPr>
          <w:p w14:paraId="0B3DDEBA" w14:textId="77777777" w:rsidR="00DB48E0" w:rsidRDefault="00000000">
            <w:pPr>
              <w:spacing w:before="0"/>
              <w:jc w:val="center"/>
            </w:pPr>
            <w:r>
              <w:rPr>
                <w:color w:val="000000"/>
              </w:rPr>
              <w:t>0,03</w:t>
            </w:r>
          </w:p>
        </w:tc>
        <w:tc>
          <w:tcPr>
            <w:tcW w:w="790" w:type="dxa"/>
            <w:vAlign w:val="center"/>
          </w:tcPr>
          <w:p w14:paraId="5F963C57" w14:textId="77777777" w:rsidR="00DB48E0" w:rsidRDefault="00000000">
            <w:pPr>
              <w:spacing w:before="0"/>
              <w:jc w:val="center"/>
            </w:pPr>
            <w:r>
              <w:rPr>
                <w:color w:val="000000"/>
              </w:rPr>
              <w:t>-0,14</w:t>
            </w:r>
          </w:p>
        </w:tc>
        <w:tc>
          <w:tcPr>
            <w:tcW w:w="949" w:type="dxa"/>
            <w:vAlign w:val="center"/>
          </w:tcPr>
          <w:p w14:paraId="2195CD58" w14:textId="77777777" w:rsidR="00DB48E0" w:rsidRDefault="00000000">
            <w:pPr>
              <w:spacing w:before="0"/>
              <w:jc w:val="center"/>
            </w:pPr>
            <w:r>
              <w:rPr>
                <w:color w:val="000000"/>
              </w:rPr>
              <w:t>-0,03</w:t>
            </w:r>
          </w:p>
        </w:tc>
        <w:tc>
          <w:tcPr>
            <w:tcW w:w="971" w:type="dxa"/>
            <w:vAlign w:val="center"/>
          </w:tcPr>
          <w:p w14:paraId="0AF3667D" w14:textId="77777777" w:rsidR="00DB48E0" w:rsidRDefault="00000000">
            <w:pPr>
              <w:spacing w:before="0"/>
              <w:jc w:val="center"/>
            </w:pPr>
            <w:r>
              <w:rPr>
                <w:color w:val="000000"/>
              </w:rPr>
              <w:t>0,29</w:t>
            </w:r>
          </w:p>
        </w:tc>
      </w:tr>
      <w:tr w:rsidR="00DB48E0" w14:paraId="390F5680" w14:textId="77777777">
        <w:trPr>
          <w:trHeight w:val="170"/>
          <w:jc w:val="center"/>
        </w:trPr>
        <w:tc>
          <w:tcPr>
            <w:tcW w:w="1205" w:type="dxa"/>
          </w:tcPr>
          <w:p w14:paraId="0611B9BC" w14:textId="77777777" w:rsidR="00DB48E0" w:rsidRDefault="00000000">
            <w:pPr>
              <w:spacing w:before="0"/>
            </w:pPr>
            <w:r>
              <w:rPr>
                <w:color w:val="000000"/>
              </w:rPr>
              <w:t>CMA</w:t>
            </w:r>
          </w:p>
        </w:tc>
        <w:tc>
          <w:tcPr>
            <w:tcW w:w="972" w:type="dxa"/>
            <w:vAlign w:val="center"/>
          </w:tcPr>
          <w:p w14:paraId="710F14FF" w14:textId="77777777" w:rsidR="00DB48E0" w:rsidRDefault="00000000">
            <w:pPr>
              <w:spacing w:before="0"/>
              <w:jc w:val="center"/>
              <w:rPr>
                <w:color w:val="000000"/>
              </w:rPr>
            </w:pPr>
            <w:r>
              <w:rPr>
                <w:color w:val="000000"/>
              </w:rPr>
              <w:t>-0,42</w:t>
            </w:r>
          </w:p>
        </w:tc>
        <w:tc>
          <w:tcPr>
            <w:tcW w:w="788" w:type="dxa"/>
            <w:vAlign w:val="center"/>
          </w:tcPr>
          <w:p w14:paraId="6AA56136" w14:textId="77777777" w:rsidR="00DB48E0" w:rsidRDefault="00000000">
            <w:pPr>
              <w:spacing w:before="0"/>
              <w:jc w:val="center"/>
              <w:rPr>
                <w:color w:val="000000"/>
              </w:rPr>
            </w:pPr>
            <w:r>
              <w:rPr>
                <w:color w:val="000000"/>
              </w:rPr>
              <w:t>-0,46</w:t>
            </w:r>
          </w:p>
        </w:tc>
        <w:tc>
          <w:tcPr>
            <w:tcW w:w="1380" w:type="dxa"/>
            <w:vAlign w:val="center"/>
          </w:tcPr>
          <w:p w14:paraId="658F4814" w14:textId="77777777" w:rsidR="00DB48E0" w:rsidRDefault="00000000">
            <w:pPr>
              <w:spacing w:before="0"/>
              <w:jc w:val="center"/>
              <w:rPr>
                <w:color w:val="000000"/>
              </w:rPr>
            </w:pPr>
            <w:r>
              <w:rPr>
                <w:color w:val="000000"/>
              </w:rPr>
              <w:t>-0,40</w:t>
            </w:r>
          </w:p>
        </w:tc>
        <w:tc>
          <w:tcPr>
            <w:tcW w:w="953" w:type="dxa"/>
            <w:vAlign w:val="center"/>
          </w:tcPr>
          <w:p w14:paraId="44CD23F2" w14:textId="77777777" w:rsidR="00DB48E0" w:rsidRDefault="00000000">
            <w:pPr>
              <w:spacing w:before="0"/>
              <w:jc w:val="center"/>
            </w:pPr>
            <w:r>
              <w:rPr>
                <w:color w:val="000000"/>
              </w:rPr>
              <w:t>-0,23</w:t>
            </w:r>
          </w:p>
        </w:tc>
        <w:tc>
          <w:tcPr>
            <w:tcW w:w="779" w:type="dxa"/>
            <w:vAlign w:val="center"/>
          </w:tcPr>
          <w:p w14:paraId="0CE8DE59" w14:textId="77777777" w:rsidR="00DB48E0" w:rsidRDefault="00000000">
            <w:pPr>
              <w:spacing w:before="0"/>
              <w:jc w:val="center"/>
            </w:pPr>
            <w:r>
              <w:rPr>
                <w:color w:val="000000"/>
              </w:rPr>
              <w:t>-0,53</w:t>
            </w:r>
          </w:p>
        </w:tc>
        <w:tc>
          <w:tcPr>
            <w:tcW w:w="790" w:type="dxa"/>
            <w:vAlign w:val="center"/>
          </w:tcPr>
          <w:p w14:paraId="5CA6B13B" w14:textId="77777777" w:rsidR="00DB48E0" w:rsidRDefault="00000000">
            <w:pPr>
              <w:spacing w:before="0"/>
              <w:jc w:val="center"/>
            </w:pPr>
            <w:r>
              <w:rPr>
                <w:color w:val="000000"/>
              </w:rPr>
              <w:t>-0,49</w:t>
            </w:r>
          </w:p>
        </w:tc>
        <w:tc>
          <w:tcPr>
            <w:tcW w:w="949" w:type="dxa"/>
            <w:vAlign w:val="center"/>
          </w:tcPr>
          <w:p w14:paraId="01EA076B" w14:textId="77777777" w:rsidR="00DB48E0" w:rsidRDefault="00000000">
            <w:pPr>
              <w:spacing w:before="0"/>
              <w:jc w:val="center"/>
            </w:pPr>
            <w:r>
              <w:rPr>
                <w:color w:val="000000"/>
              </w:rPr>
              <w:t>-0,45</w:t>
            </w:r>
          </w:p>
        </w:tc>
        <w:tc>
          <w:tcPr>
            <w:tcW w:w="971" w:type="dxa"/>
            <w:vAlign w:val="center"/>
          </w:tcPr>
          <w:p w14:paraId="0A2B4554" w14:textId="77777777" w:rsidR="00DB48E0" w:rsidRDefault="00000000">
            <w:pPr>
              <w:spacing w:before="0"/>
              <w:jc w:val="center"/>
            </w:pPr>
            <w:r>
              <w:rPr>
                <w:color w:val="000000"/>
              </w:rPr>
              <w:t>-0,07</w:t>
            </w:r>
          </w:p>
        </w:tc>
      </w:tr>
      <w:tr w:rsidR="00DB48E0" w14:paraId="7222F841" w14:textId="77777777">
        <w:trPr>
          <w:trHeight w:val="170"/>
          <w:jc w:val="center"/>
        </w:trPr>
        <w:tc>
          <w:tcPr>
            <w:tcW w:w="1205" w:type="dxa"/>
            <w:tcBorders>
              <w:bottom w:val="single" w:sz="4" w:space="0" w:color="000000"/>
            </w:tcBorders>
          </w:tcPr>
          <w:p w14:paraId="1C7632B3" w14:textId="77777777" w:rsidR="00DB48E0" w:rsidRDefault="00000000">
            <w:pPr>
              <w:spacing w:before="0"/>
            </w:pPr>
            <w:proofErr w:type="spellStart"/>
            <w:r>
              <w:rPr>
                <w:color w:val="000000"/>
              </w:rPr>
              <w:t>Mean</w:t>
            </w:r>
            <w:proofErr w:type="spellEnd"/>
            <w:r>
              <w:rPr>
                <w:color w:val="000000"/>
              </w:rPr>
              <w:t xml:space="preserve"> </w:t>
            </w:r>
            <w:proofErr w:type="spellStart"/>
            <w:r>
              <w:rPr>
                <w:color w:val="000000"/>
              </w:rPr>
              <w:t>Residuals</w:t>
            </w:r>
            <w:proofErr w:type="spellEnd"/>
          </w:p>
        </w:tc>
        <w:tc>
          <w:tcPr>
            <w:tcW w:w="972" w:type="dxa"/>
            <w:tcBorders>
              <w:bottom w:val="single" w:sz="4" w:space="0" w:color="000000"/>
            </w:tcBorders>
            <w:vAlign w:val="center"/>
          </w:tcPr>
          <w:p w14:paraId="7D83CF25" w14:textId="77777777" w:rsidR="00DB48E0" w:rsidRDefault="00000000">
            <w:pPr>
              <w:spacing w:before="0"/>
              <w:jc w:val="center"/>
              <w:rPr>
                <w:color w:val="000000"/>
              </w:rPr>
            </w:pPr>
            <w:r>
              <w:rPr>
                <w:color w:val="000000"/>
              </w:rPr>
              <w:t>0,00</w:t>
            </w:r>
          </w:p>
        </w:tc>
        <w:tc>
          <w:tcPr>
            <w:tcW w:w="788" w:type="dxa"/>
            <w:tcBorders>
              <w:bottom w:val="single" w:sz="4" w:space="0" w:color="000000"/>
            </w:tcBorders>
            <w:vAlign w:val="center"/>
          </w:tcPr>
          <w:p w14:paraId="44AEC1A4" w14:textId="77777777" w:rsidR="00DB48E0" w:rsidRDefault="00000000">
            <w:pPr>
              <w:spacing w:before="0"/>
              <w:jc w:val="center"/>
              <w:rPr>
                <w:color w:val="000000"/>
              </w:rPr>
            </w:pPr>
            <w:r>
              <w:rPr>
                <w:color w:val="000000"/>
              </w:rPr>
              <w:t>0,00</w:t>
            </w:r>
          </w:p>
        </w:tc>
        <w:tc>
          <w:tcPr>
            <w:tcW w:w="1380" w:type="dxa"/>
            <w:tcBorders>
              <w:bottom w:val="single" w:sz="4" w:space="0" w:color="000000"/>
            </w:tcBorders>
            <w:vAlign w:val="center"/>
          </w:tcPr>
          <w:p w14:paraId="7F478C83" w14:textId="77777777" w:rsidR="00DB48E0" w:rsidRDefault="00000000">
            <w:pPr>
              <w:spacing w:before="0"/>
              <w:jc w:val="center"/>
              <w:rPr>
                <w:color w:val="000000"/>
              </w:rPr>
            </w:pPr>
            <w:r>
              <w:rPr>
                <w:color w:val="000000"/>
              </w:rPr>
              <w:t>0,00</w:t>
            </w:r>
          </w:p>
        </w:tc>
        <w:tc>
          <w:tcPr>
            <w:tcW w:w="953" w:type="dxa"/>
            <w:tcBorders>
              <w:bottom w:val="single" w:sz="4" w:space="0" w:color="000000"/>
            </w:tcBorders>
            <w:vAlign w:val="center"/>
          </w:tcPr>
          <w:p w14:paraId="76E678EB" w14:textId="77777777" w:rsidR="00DB48E0" w:rsidRDefault="00000000">
            <w:pPr>
              <w:spacing w:before="0"/>
              <w:jc w:val="center"/>
            </w:pPr>
            <w:r>
              <w:rPr>
                <w:color w:val="000000"/>
              </w:rPr>
              <w:t>0,00</w:t>
            </w:r>
          </w:p>
        </w:tc>
        <w:tc>
          <w:tcPr>
            <w:tcW w:w="779" w:type="dxa"/>
            <w:tcBorders>
              <w:bottom w:val="single" w:sz="4" w:space="0" w:color="000000"/>
            </w:tcBorders>
            <w:vAlign w:val="center"/>
          </w:tcPr>
          <w:p w14:paraId="02B9CEFA" w14:textId="77777777" w:rsidR="00DB48E0" w:rsidRDefault="00000000">
            <w:pPr>
              <w:spacing w:before="0"/>
              <w:jc w:val="center"/>
            </w:pPr>
            <w:r>
              <w:rPr>
                <w:color w:val="000000"/>
              </w:rPr>
              <w:t>0,00</w:t>
            </w:r>
          </w:p>
        </w:tc>
        <w:tc>
          <w:tcPr>
            <w:tcW w:w="790" w:type="dxa"/>
            <w:tcBorders>
              <w:bottom w:val="single" w:sz="4" w:space="0" w:color="000000"/>
            </w:tcBorders>
            <w:vAlign w:val="center"/>
          </w:tcPr>
          <w:p w14:paraId="2D460D2F" w14:textId="77777777" w:rsidR="00DB48E0" w:rsidRDefault="00000000">
            <w:pPr>
              <w:spacing w:before="0"/>
              <w:jc w:val="center"/>
            </w:pPr>
            <w:r>
              <w:rPr>
                <w:color w:val="000000"/>
              </w:rPr>
              <w:t>0,00</w:t>
            </w:r>
          </w:p>
        </w:tc>
        <w:tc>
          <w:tcPr>
            <w:tcW w:w="949" w:type="dxa"/>
            <w:tcBorders>
              <w:bottom w:val="single" w:sz="4" w:space="0" w:color="000000"/>
            </w:tcBorders>
            <w:vAlign w:val="center"/>
          </w:tcPr>
          <w:p w14:paraId="73749F09" w14:textId="77777777" w:rsidR="00DB48E0" w:rsidRDefault="00000000">
            <w:pPr>
              <w:spacing w:before="0"/>
              <w:jc w:val="center"/>
            </w:pPr>
            <w:r>
              <w:rPr>
                <w:color w:val="000000"/>
              </w:rPr>
              <w:t>0,00</w:t>
            </w:r>
          </w:p>
        </w:tc>
        <w:tc>
          <w:tcPr>
            <w:tcW w:w="971" w:type="dxa"/>
            <w:tcBorders>
              <w:bottom w:val="single" w:sz="4" w:space="0" w:color="000000"/>
            </w:tcBorders>
            <w:vAlign w:val="center"/>
          </w:tcPr>
          <w:p w14:paraId="5C0620BE" w14:textId="77777777" w:rsidR="00DB48E0" w:rsidRDefault="00000000">
            <w:pPr>
              <w:spacing w:before="0"/>
              <w:jc w:val="center"/>
            </w:pPr>
            <w:r>
              <w:rPr>
                <w:color w:val="000000"/>
              </w:rPr>
              <w:t>0,00</w:t>
            </w:r>
          </w:p>
        </w:tc>
      </w:tr>
    </w:tbl>
    <w:p w14:paraId="429AD0A5" w14:textId="77777777" w:rsidR="00DB48E0" w:rsidRDefault="00000000">
      <w:r>
        <w:t>Source : auteurs, mars 2025.</w:t>
      </w:r>
    </w:p>
    <w:p w14:paraId="48432DAC" w14:textId="77777777" w:rsidR="00DB48E0" w:rsidRDefault="00000000">
      <w:r>
        <w:t>L'alpha, qui représente la performance ajustée au risque de chaque indice, est de 0,00 pour tous les indices, ce qui signifie qu'il n'y a pas de surperformance ou de sous-performance après ajustement pour les facteurs de risque.</w:t>
      </w:r>
    </w:p>
    <w:p w14:paraId="543BF042" w14:textId="77777777" w:rsidR="00DB48E0" w:rsidRDefault="00000000">
      <w:r>
        <w:t>Le facteur de marché (</w:t>
      </w:r>
      <w:proofErr w:type="spellStart"/>
      <w:r>
        <w:t>Mkt</w:t>
      </w:r>
      <w:proofErr w:type="spellEnd"/>
      <w:r>
        <w:t xml:space="preserve">-RF) mesure la sensibilité de chaque indice aux mouvements du marché global. Les indices </w:t>
      </w:r>
      <w:proofErr w:type="spellStart"/>
      <w:r>
        <w:t>Growth</w:t>
      </w:r>
      <w:proofErr w:type="spellEnd"/>
      <w:r>
        <w:t xml:space="preserve">, Large, Momentum, </w:t>
      </w:r>
      <w:proofErr w:type="spellStart"/>
      <w:r>
        <w:t>Quality</w:t>
      </w:r>
      <w:proofErr w:type="spellEnd"/>
      <w:r>
        <w:t xml:space="preserve">, et </w:t>
      </w:r>
      <w:proofErr w:type="spellStart"/>
      <w:r>
        <w:t>Market</w:t>
      </w:r>
      <w:proofErr w:type="spellEnd"/>
      <w:r>
        <w:t xml:space="preserve"> ont des coefficients positifs, indiquant qu'ils suivent généralement les tendances du marché. L'indice Low Vol, avec le coefficient le plus bas (0,48), montre une moindre sensibilité aux fluctuations du marché, ce qui est cohérent avec son objectif de faible volatilité.</w:t>
      </w:r>
    </w:p>
    <w:p w14:paraId="1A7CE67A" w14:textId="77777777" w:rsidR="00DB48E0" w:rsidRDefault="00000000">
      <w:r>
        <w:t>Le facteur de taille (SMB) reflète la sensibilité à la taille des entreprises. L'indice Small a un coefficient positif (0,60), indiquant une forte exposition aux petites capitalisations, tandis que les autres indices ont des coefficients négatifs, montrant une orientation vers les grandes capitalisations.</w:t>
      </w:r>
    </w:p>
    <w:p w14:paraId="44A28946" w14:textId="77777777" w:rsidR="00DB48E0" w:rsidRDefault="00000000">
      <w:r>
        <w:t xml:space="preserve">Le facteur de valeur (HML) indique la sensibilité à la valeur des entreprises. L'indice Value a le coefficient le plus élevé (0,49), reflétant une forte orientation vers les actions sous-évaluées, alors que l'indice </w:t>
      </w:r>
      <w:proofErr w:type="spellStart"/>
      <w:r>
        <w:t>Growth</w:t>
      </w:r>
      <w:proofErr w:type="spellEnd"/>
      <w:r>
        <w:t xml:space="preserve"> a un coefficient négatif (-0,21), indiquant une orientation vers les actions de croissance.</w:t>
      </w:r>
    </w:p>
    <w:p w14:paraId="2A7909B0" w14:textId="77777777" w:rsidR="00DB48E0" w:rsidRDefault="00000000">
      <w:r>
        <w:lastRenderedPageBreak/>
        <w:t>Les résidus moyens (</w:t>
      </w:r>
      <w:proofErr w:type="spellStart"/>
      <w:r>
        <w:t>Mean</w:t>
      </w:r>
      <w:proofErr w:type="spellEnd"/>
      <w:r>
        <w:t xml:space="preserve"> </w:t>
      </w:r>
      <w:proofErr w:type="spellStart"/>
      <w:r>
        <w:t>Residuals</w:t>
      </w:r>
      <w:proofErr w:type="spellEnd"/>
      <w:r>
        <w:t>) sont de 0,00 pour tous les indices, ce qui indique que le modèle explique bien les rendements sans biais systématique.</w:t>
      </w:r>
    </w:p>
    <w:p w14:paraId="007574D1" w14:textId="77777777" w:rsidR="00DB48E0" w:rsidRDefault="00000000">
      <w:r>
        <w:t>En ce qui concerne les autres facteurs, RMW (</w:t>
      </w:r>
      <w:proofErr w:type="spellStart"/>
      <w:r>
        <w:t>Robust</w:t>
      </w:r>
      <w:proofErr w:type="spellEnd"/>
      <w:r>
        <w:t xml:space="preserve"> Minus Weak) mesure la sensibilité à la robustesse des entreprises. Les indices </w:t>
      </w:r>
      <w:proofErr w:type="spellStart"/>
      <w:r>
        <w:t>Quality</w:t>
      </w:r>
      <w:proofErr w:type="spellEnd"/>
      <w:r>
        <w:t xml:space="preserve"> et </w:t>
      </w:r>
      <w:proofErr w:type="spellStart"/>
      <w:r>
        <w:t>LowVol</w:t>
      </w:r>
      <w:proofErr w:type="spellEnd"/>
      <w:r>
        <w:t xml:space="preserve"> ont des coefficients positifs, indiquant une orientation vers des entreprises plus solides, tandis que les indices Large et Value ont des coefficients négatifs, montrant une exposition à des entreprises moins robustes. CMA (Conservative Minus </w:t>
      </w:r>
      <w:proofErr w:type="spellStart"/>
      <w:r>
        <w:t>Aggressive</w:t>
      </w:r>
      <w:proofErr w:type="spellEnd"/>
      <w:r>
        <w:t xml:space="preserve">) reflète la sensibilité à la gestion conservatrice des entreprises. L'indice </w:t>
      </w:r>
      <w:proofErr w:type="spellStart"/>
      <w:r>
        <w:t>Quality</w:t>
      </w:r>
      <w:proofErr w:type="spellEnd"/>
      <w:r>
        <w:t xml:space="preserve"> a un coefficient positif (0,35), indiquant une orientation vers des entreprises plus conservatrices, alors que les indices Small et Value ont des coefficients négatifs, montrant une exposition à des entreprises plus agressives.</w:t>
      </w:r>
    </w:p>
    <w:p w14:paraId="350F1B2B" w14:textId="77777777" w:rsidR="00DB48E0" w:rsidRDefault="00000000">
      <w:r>
        <w:t xml:space="preserve">En conclusion, les résultats montrent que les indices MSCI ont des sensibilités variées aux facteurs de risque de Fama-French. Les indices Small et Value sont plus sensibles aux petites capitalisations et aux actions sous-évaluées, respectivement, tandis que Low Vol montre une faible sensibilité au marché, conforme à son objectif. Les coefficients de </w:t>
      </w:r>
      <w:proofErr w:type="spellStart"/>
      <w:r>
        <w:t>Quality</w:t>
      </w:r>
      <w:proofErr w:type="spellEnd"/>
      <w:r>
        <w:t xml:space="preserve"> et </w:t>
      </w:r>
      <w:proofErr w:type="spellStart"/>
      <w:r>
        <w:t>Growth</w:t>
      </w:r>
      <w:proofErr w:type="spellEnd"/>
      <w:r>
        <w:t xml:space="preserve"> reflètent leurs orientations respectives vers des entreprises robustes et en croissance. Globalement, le modèle de Fama-French permet de bien expliquer les rendements des indices MSCI Europe sur cette période.</w:t>
      </w:r>
    </w:p>
    <w:p w14:paraId="1F91FEAA" w14:textId="77777777" w:rsidR="00DB48E0" w:rsidRDefault="00000000">
      <w:pPr>
        <w:pStyle w:val="Titre2"/>
        <w:ind w:left="576" w:hanging="576"/>
      </w:pPr>
      <w:bookmarkStart w:id="29" w:name="_Toc194078570"/>
      <w:r>
        <w:t>Analyse par sous-périodes</w:t>
      </w:r>
      <w:bookmarkEnd w:id="29"/>
    </w:p>
    <w:p w14:paraId="3EE38E05" w14:textId="77777777" w:rsidR="00DB48E0" w:rsidRDefault="00000000">
      <w:pPr>
        <w:pStyle w:val="Titre3"/>
      </w:pPr>
      <w:bookmarkStart w:id="30" w:name="_Toc194078571"/>
      <w:r>
        <w:t>Bulle internet (décembre 1998 – décembre 2003)</w:t>
      </w:r>
      <w:bookmarkEnd w:id="30"/>
    </w:p>
    <w:p w14:paraId="3ACC383C" w14:textId="77777777" w:rsidR="00DB48E0" w:rsidRDefault="00000000">
      <w:r>
        <w:t xml:space="preserve">La période allant de décembre 1998 à décembre 2003 correspond à l’éclatement de la bulle internet, une crise qui a fortement secoué les marchés financiers. À la fin des années 1990, une euphorie spéculative s’est développée autour des valeurs technologiques, alimentée par des attentes de croissance exponentielle et une abondance de liquidités. Le Nasdaq a atteint un sommet en mars 2000 avant de chuter de près de 78 % jusqu’à octobre 2002. En Europe, les indices boursiers ont suivi une tendance similaire, le </w:t>
      </w:r>
      <w:proofErr w:type="spellStart"/>
      <w:r>
        <w:t>Stoxx</w:t>
      </w:r>
      <w:proofErr w:type="spellEnd"/>
      <w:r>
        <w:t xml:space="preserve"> 600 ayant perdu environ 50 % entre 2000 et 2003. La récession qui a suivi a été aggravée par les scandales comptables (comme Enron et </w:t>
      </w:r>
      <w:proofErr w:type="spellStart"/>
      <w:r>
        <w:t>WorldCom</w:t>
      </w:r>
      <w:proofErr w:type="spellEnd"/>
      <w:r>
        <w:t>) et une faible croissance économique mondiale.</w:t>
      </w:r>
    </w:p>
    <w:p w14:paraId="479632DC" w14:textId="486FBD08" w:rsidR="00DB48E0" w:rsidRDefault="00A27748" w:rsidP="00A27748">
      <w:pPr>
        <w:pStyle w:val="Lgende"/>
        <w:rPr>
          <w:b w:val="0"/>
          <w:color w:val="000000"/>
        </w:rPr>
      </w:pPr>
      <w:bookmarkStart w:id="31" w:name="_heading=h.77xiy0fdo825" w:colFirst="0" w:colLast="0"/>
      <w:bookmarkStart w:id="32" w:name="_Toc194078596"/>
      <w:bookmarkEnd w:id="31"/>
      <w:r>
        <w:t xml:space="preserve">Tableau </w:t>
      </w:r>
      <w:fldSimple w:instr=" SEQ Tableau \* ARABIC ">
        <w:r w:rsidR="004D7D3B">
          <w:rPr>
            <w:noProof/>
          </w:rPr>
          <w:t>6</w:t>
        </w:r>
      </w:fldSimple>
      <w:r>
        <w:rPr>
          <w:color w:val="000000"/>
        </w:rPr>
        <w:t>. Indicateurs de performances et de risque des styles pendant la bulle internet</w:t>
      </w:r>
      <w:bookmarkEnd w:id="32"/>
    </w:p>
    <w:tbl>
      <w:tblPr>
        <w:tblStyle w:val="a4"/>
        <w:tblW w:w="680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701"/>
        <w:gridCol w:w="1701"/>
        <w:gridCol w:w="1701"/>
        <w:gridCol w:w="1701"/>
      </w:tblGrid>
      <w:tr w:rsidR="00DB48E0" w14:paraId="5B58FFE2" w14:textId="77777777">
        <w:trPr>
          <w:jc w:val="center"/>
        </w:trPr>
        <w:tc>
          <w:tcPr>
            <w:tcW w:w="1701" w:type="dxa"/>
            <w:tcBorders>
              <w:top w:val="single" w:sz="4" w:space="0" w:color="000000"/>
              <w:bottom w:val="single" w:sz="4" w:space="0" w:color="000000"/>
            </w:tcBorders>
            <w:vAlign w:val="center"/>
          </w:tcPr>
          <w:p w14:paraId="6829EC53" w14:textId="77777777" w:rsidR="00DB48E0" w:rsidRDefault="00000000">
            <w:pPr>
              <w:jc w:val="left"/>
            </w:pPr>
            <w:r>
              <w:t>Styles d’investissement</w:t>
            </w:r>
          </w:p>
        </w:tc>
        <w:tc>
          <w:tcPr>
            <w:tcW w:w="1701" w:type="dxa"/>
            <w:tcBorders>
              <w:top w:val="single" w:sz="4" w:space="0" w:color="000000"/>
              <w:bottom w:val="single" w:sz="4" w:space="0" w:color="000000"/>
            </w:tcBorders>
            <w:vAlign w:val="center"/>
          </w:tcPr>
          <w:p w14:paraId="2B5C1428" w14:textId="77777777" w:rsidR="00DB48E0" w:rsidRDefault="00000000">
            <w:pPr>
              <w:jc w:val="center"/>
            </w:pPr>
            <w:r>
              <w:t>Rentabilité annuelle</w:t>
            </w:r>
          </w:p>
        </w:tc>
        <w:tc>
          <w:tcPr>
            <w:tcW w:w="1701" w:type="dxa"/>
            <w:tcBorders>
              <w:top w:val="single" w:sz="4" w:space="0" w:color="000000"/>
              <w:bottom w:val="single" w:sz="4" w:space="0" w:color="000000"/>
            </w:tcBorders>
            <w:vAlign w:val="center"/>
          </w:tcPr>
          <w:p w14:paraId="067DFA82" w14:textId="77777777" w:rsidR="00DB48E0" w:rsidRDefault="00000000">
            <w:pPr>
              <w:jc w:val="center"/>
            </w:pPr>
            <w:r>
              <w:t>Volatilité annuelle</w:t>
            </w:r>
          </w:p>
        </w:tc>
        <w:tc>
          <w:tcPr>
            <w:tcW w:w="1701" w:type="dxa"/>
            <w:tcBorders>
              <w:top w:val="single" w:sz="4" w:space="0" w:color="000000"/>
              <w:bottom w:val="single" w:sz="4" w:space="0" w:color="000000"/>
            </w:tcBorders>
            <w:vAlign w:val="center"/>
          </w:tcPr>
          <w:p w14:paraId="29FFF4A4" w14:textId="77777777" w:rsidR="00DB48E0" w:rsidRDefault="00000000">
            <w:pPr>
              <w:jc w:val="center"/>
            </w:pPr>
            <w:r>
              <w:t xml:space="preserve">Max </w:t>
            </w:r>
            <w:proofErr w:type="spellStart"/>
            <w:r>
              <w:t>drawdown</w:t>
            </w:r>
            <w:proofErr w:type="spellEnd"/>
          </w:p>
        </w:tc>
      </w:tr>
      <w:tr w:rsidR="00DB48E0" w14:paraId="2E03B029" w14:textId="77777777">
        <w:trPr>
          <w:trHeight w:val="170"/>
          <w:jc w:val="center"/>
        </w:trPr>
        <w:tc>
          <w:tcPr>
            <w:tcW w:w="1701" w:type="dxa"/>
            <w:tcBorders>
              <w:top w:val="single" w:sz="4" w:space="0" w:color="000000"/>
            </w:tcBorders>
            <w:vAlign w:val="center"/>
          </w:tcPr>
          <w:p w14:paraId="005D65CF" w14:textId="77777777" w:rsidR="00DB48E0" w:rsidRDefault="00000000">
            <w:r>
              <w:rPr>
                <w:color w:val="000000"/>
              </w:rPr>
              <w:t>Small</w:t>
            </w:r>
          </w:p>
        </w:tc>
        <w:tc>
          <w:tcPr>
            <w:tcW w:w="1701" w:type="dxa"/>
            <w:tcBorders>
              <w:top w:val="single" w:sz="4" w:space="0" w:color="000000"/>
            </w:tcBorders>
            <w:vAlign w:val="center"/>
          </w:tcPr>
          <w:p w14:paraId="1A176E79" w14:textId="77777777" w:rsidR="00DB48E0" w:rsidRDefault="00000000">
            <w:pPr>
              <w:jc w:val="center"/>
              <w:rPr>
                <w:color w:val="000000"/>
              </w:rPr>
            </w:pPr>
            <w:r>
              <w:rPr>
                <w:color w:val="000000"/>
              </w:rPr>
              <w:t>3%</w:t>
            </w:r>
          </w:p>
        </w:tc>
        <w:tc>
          <w:tcPr>
            <w:tcW w:w="1701" w:type="dxa"/>
            <w:tcBorders>
              <w:top w:val="single" w:sz="4" w:space="0" w:color="000000"/>
            </w:tcBorders>
            <w:vAlign w:val="center"/>
          </w:tcPr>
          <w:p w14:paraId="0FF5DB3F" w14:textId="77777777" w:rsidR="00DB48E0" w:rsidRDefault="00000000">
            <w:pPr>
              <w:jc w:val="center"/>
              <w:rPr>
                <w:color w:val="000000"/>
              </w:rPr>
            </w:pPr>
            <w:r>
              <w:rPr>
                <w:color w:val="000000"/>
              </w:rPr>
              <w:t>19%</w:t>
            </w:r>
          </w:p>
        </w:tc>
        <w:tc>
          <w:tcPr>
            <w:tcW w:w="1701" w:type="dxa"/>
            <w:tcBorders>
              <w:top w:val="single" w:sz="4" w:space="0" w:color="000000"/>
            </w:tcBorders>
            <w:vAlign w:val="center"/>
          </w:tcPr>
          <w:p w14:paraId="65E8C613" w14:textId="77777777" w:rsidR="00DB48E0" w:rsidRDefault="00000000">
            <w:pPr>
              <w:jc w:val="center"/>
              <w:rPr>
                <w:color w:val="000000"/>
              </w:rPr>
            </w:pPr>
            <w:r>
              <w:rPr>
                <w:color w:val="000000"/>
              </w:rPr>
              <w:t>-46%</w:t>
            </w:r>
          </w:p>
        </w:tc>
      </w:tr>
      <w:tr w:rsidR="00DB48E0" w14:paraId="51BFC8BF" w14:textId="77777777">
        <w:trPr>
          <w:trHeight w:val="170"/>
          <w:jc w:val="center"/>
        </w:trPr>
        <w:tc>
          <w:tcPr>
            <w:tcW w:w="1701" w:type="dxa"/>
            <w:vAlign w:val="center"/>
          </w:tcPr>
          <w:p w14:paraId="5E89D81B" w14:textId="77777777" w:rsidR="00DB48E0" w:rsidRDefault="00000000">
            <w:pPr>
              <w:spacing w:before="0"/>
            </w:pPr>
            <w:r>
              <w:rPr>
                <w:color w:val="000000"/>
              </w:rPr>
              <w:t>Value</w:t>
            </w:r>
          </w:p>
        </w:tc>
        <w:tc>
          <w:tcPr>
            <w:tcW w:w="1701" w:type="dxa"/>
            <w:vAlign w:val="center"/>
          </w:tcPr>
          <w:p w14:paraId="69345B06" w14:textId="77777777" w:rsidR="00DB48E0" w:rsidRDefault="00000000">
            <w:pPr>
              <w:spacing w:before="0"/>
              <w:jc w:val="center"/>
              <w:rPr>
                <w:color w:val="000000"/>
              </w:rPr>
            </w:pPr>
            <w:r>
              <w:rPr>
                <w:color w:val="000000"/>
              </w:rPr>
              <w:t>0%</w:t>
            </w:r>
          </w:p>
        </w:tc>
        <w:tc>
          <w:tcPr>
            <w:tcW w:w="1701" w:type="dxa"/>
            <w:vAlign w:val="center"/>
          </w:tcPr>
          <w:p w14:paraId="1894DF81" w14:textId="77777777" w:rsidR="00DB48E0" w:rsidRDefault="00000000">
            <w:pPr>
              <w:spacing w:before="0"/>
              <w:jc w:val="center"/>
              <w:rPr>
                <w:color w:val="000000"/>
              </w:rPr>
            </w:pPr>
            <w:r>
              <w:rPr>
                <w:color w:val="000000"/>
              </w:rPr>
              <w:t>20%</w:t>
            </w:r>
          </w:p>
        </w:tc>
        <w:tc>
          <w:tcPr>
            <w:tcW w:w="1701" w:type="dxa"/>
            <w:vAlign w:val="center"/>
          </w:tcPr>
          <w:p w14:paraId="224F280A" w14:textId="77777777" w:rsidR="00DB48E0" w:rsidRDefault="00000000">
            <w:pPr>
              <w:spacing w:before="0"/>
              <w:jc w:val="center"/>
              <w:rPr>
                <w:color w:val="000000"/>
              </w:rPr>
            </w:pPr>
            <w:r>
              <w:rPr>
                <w:color w:val="000000"/>
              </w:rPr>
              <w:t>-52%</w:t>
            </w:r>
          </w:p>
        </w:tc>
      </w:tr>
      <w:tr w:rsidR="00DB48E0" w14:paraId="1B004EE7" w14:textId="77777777">
        <w:trPr>
          <w:trHeight w:val="170"/>
          <w:jc w:val="center"/>
        </w:trPr>
        <w:tc>
          <w:tcPr>
            <w:tcW w:w="1701" w:type="dxa"/>
            <w:vAlign w:val="center"/>
          </w:tcPr>
          <w:p w14:paraId="45851B4E" w14:textId="77777777" w:rsidR="00DB48E0" w:rsidRDefault="00000000">
            <w:pPr>
              <w:spacing w:before="0"/>
            </w:pPr>
            <w:proofErr w:type="spellStart"/>
            <w:r>
              <w:rPr>
                <w:color w:val="000000"/>
              </w:rPr>
              <w:t>Quality</w:t>
            </w:r>
            <w:proofErr w:type="spellEnd"/>
          </w:p>
        </w:tc>
        <w:tc>
          <w:tcPr>
            <w:tcW w:w="1701" w:type="dxa"/>
            <w:vAlign w:val="center"/>
          </w:tcPr>
          <w:p w14:paraId="1E7569F6" w14:textId="77777777" w:rsidR="00DB48E0" w:rsidRDefault="00000000">
            <w:pPr>
              <w:spacing w:before="0"/>
              <w:jc w:val="center"/>
              <w:rPr>
                <w:color w:val="000000"/>
              </w:rPr>
            </w:pPr>
            <w:r>
              <w:rPr>
                <w:color w:val="000000"/>
              </w:rPr>
              <w:t>-2%</w:t>
            </w:r>
          </w:p>
        </w:tc>
        <w:tc>
          <w:tcPr>
            <w:tcW w:w="1701" w:type="dxa"/>
            <w:vAlign w:val="center"/>
          </w:tcPr>
          <w:p w14:paraId="196EC80E" w14:textId="77777777" w:rsidR="00DB48E0" w:rsidRDefault="00000000">
            <w:pPr>
              <w:spacing w:before="0"/>
              <w:jc w:val="center"/>
              <w:rPr>
                <w:color w:val="000000"/>
              </w:rPr>
            </w:pPr>
            <w:r>
              <w:rPr>
                <w:color w:val="000000"/>
              </w:rPr>
              <w:t>16%</w:t>
            </w:r>
          </w:p>
        </w:tc>
        <w:tc>
          <w:tcPr>
            <w:tcW w:w="1701" w:type="dxa"/>
            <w:vAlign w:val="center"/>
          </w:tcPr>
          <w:p w14:paraId="49FD71B7" w14:textId="77777777" w:rsidR="00DB48E0" w:rsidRDefault="00000000">
            <w:pPr>
              <w:spacing w:before="0"/>
              <w:jc w:val="center"/>
              <w:rPr>
                <w:color w:val="000000"/>
              </w:rPr>
            </w:pPr>
            <w:r>
              <w:rPr>
                <w:color w:val="000000"/>
              </w:rPr>
              <w:t>-48%</w:t>
            </w:r>
          </w:p>
        </w:tc>
      </w:tr>
      <w:tr w:rsidR="00DB48E0" w14:paraId="3A90B838" w14:textId="77777777">
        <w:trPr>
          <w:trHeight w:val="170"/>
          <w:jc w:val="center"/>
        </w:trPr>
        <w:tc>
          <w:tcPr>
            <w:tcW w:w="1701" w:type="dxa"/>
            <w:vAlign w:val="center"/>
          </w:tcPr>
          <w:p w14:paraId="75DFAA17" w14:textId="77777777" w:rsidR="00DB48E0" w:rsidRDefault="00000000">
            <w:pPr>
              <w:spacing w:before="0"/>
            </w:pPr>
            <w:r>
              <w:rPr>
                <w:color w:val="000000"/>
              </w:rPr>
              <w:t>Momentum</w:t>
            </w:r>
          </w:p>
        </w:tc>
        <w:tc>
          <w:tcPr>
            <w:tcW w:w="1701" w:type="dxa"/>
            <w:vAlign w:val="center"/>
          </w:tcPr>
          <w:p w14:paraId="208D1AB6" w14:textId="77777777" w:rsidR="00DB48E0" w:rsidRDefault="00000000">
            <w:pPr>
              <w:spacing w:before="0"/>
              <w:jc w:val="center"/>
              <w:rPr>
                <w:color w:val="000000"/>
              </w:rPr>
            </w:pPr>
            <w:r>
              <w:rPr>
                <w:color w:val="000000"/>
              </w:rPr>
              <w:t>-3%</w:t>
            </w:r>
          </w:p>
        </w:tc>
        <w:tc>
          <w:tcPr>
            <w:tcW w:w="1701" w:type="dxa"/>
            <w:vAlign w:val="center"/>
          </w:tcPr>
          <w:p w14:paraId="60467063" w14:textId="77777777" w:rsidR="00DB48E0" w:rsidRDefault="00000000">
            <w:pPr>
              <w:spacing w:before="0"/>
              <w:jc w:val="center"/>
              <w:rPr>
                <w:color w:val="000000"/>
              </w:rPr>
            </w:pPr>
            <w:r>
              <w:rPr>
                <w:color w:val="000000"/>
              </w:rPr>
              <w:t>19%</w:t>
            </w:r>
          </w:p>
        </w:tc>
        <w:tc>
          <w:tcPr>
            <w:tcW w:w="1701" w:type="dxa"/>
            <w:vAlign w:val="center"/>
          </w:tcPr>
          <w:p w14:paraId="09526F9E" w14:textId="77777777" w:rsidR="00DB48E0" w:rsidRDefault="00000000">
            <w:pPr>
              <w:spacing w:before="0"/>
              <w:jc w:val="center"/>
              <w:rPr>
                <w:color w:val="000000"/>
              </w:rPr>
            </w:pPr>
            <w:r>
              <w:rPr>
                <w:color w:val="000000"/>
              </w:rPr>
              <w:t>-56%</w:t>
            </w:r>
          </w:p>
        </w:tc>
      </w:tr>
      <w:tr w:rsidR="00DB48E0" w14:paraId="62D623F4" w14:textId="77777777">
        <w:trPr>
          <w:trHeight w:val="170"/>
          <w:jc w:val="center"/>
        </w:trPr>
        <w:tc>
          <w:tcPr>
            <w:tcW w:w="1701" w:type="dxa"/>
            <w:vAlign w:val="center"/>
          </w:tcPr>
          <w:p w14:paraId="5CF8228B" w14:textId="77777777" w:rsidR="00DB48E0" w:rsidRDefault="00000000">
            <w:pPr>
              <w:spacing w:before="0"/>
            </w:pPr>
            <w:proofErr w:type="spellStart"/>
            <w:r>
              <w:rPr>
                <w:color w:val="000000"/>
              </w:rPr>
              <w:t>Market</w:t>
            </w:r>
            <w:proofErr w:type="spellEnd"/>
          </w:p>
        </w:tc>
        <w:tc>
          <w:tcPr>
            <w:tcW w:w="1701" w:type="dxa"/>
            <w:vAlign w:val="center"/>
          </w:tcPr>
          <w:p w14:paraId="36522569" w14:textId="77777777" w:rsidR="00DB48E0" w:rsidRDefault="00000000">
            <w:pPr>
              <w:spacing w:before="0"/>
              <w:jc w:val="center"/>
              <w:rPr>
                <w:color w:val="000000"/>
              </w:rPr>
            </w:pPr>
            <w:r>
              <w:rPr>
                <w:color w:val="000000"/>
              </w:rPr>
              <w:t>-4%</w:t>
            </w:r>
          </w:p>
        </w:tc>
        <w:tc>
          <w:tcPr>
            <w:tcW w:w="1701" w:type="dxa"/>
            <w:vAlign w:val="center"/>
          </w:tcPr>
          <w:p w14:paraId="0871EABD" w14:textId="77777777" w:rsidR="00DB48E0" w:rsidRDefault="00000000">
            <w:pPr>
              <w:spacing w:before="0"/>
              <w:jc w:val="center"/>
              <w:rPr>
                <w:color w:val="000000"/>
              </w:rPr>
            </w:pPr>
            <w:r>
              <w:rPr>
                <w:color w:val="000000"/>
              </w:rPr>
              <w:t>19%</w:t>
            </w:r>
          </w:p>
        </w:tc>
        <w:tc>
          <w:tcPr>
            <w:tcW w:w="1701" w:type="dxa"/>
            <w:vAlign w:val="center"/>
          </w:tcPr>
          <w:p w14:paraId="154713FA" w14:textId="77777777" w:rsidR="00DB48E0" w:rsidRDefault="00000000">
            <w:pPr>
              <w:spacing w:before="0"/>
              <w:jc w:val="center"/>
              <w:rPr>
                <w:color w:val="000000"/>
              </w:rPr>
            </w:pPr>
            <w:r>
              <w:rPr>
                <w:color w:val="000000"/>
              </w:rPr>
              <w:t>-55%</w:t>
            </w:r>
          </w:p>
        </w:tc>
      </w:tr>
      <w:tr w:rsidR="00DB48E0" w14:paraId="0B5CDC12" w14:textId="77777777">
        <w:trPr>
          <w:trHeight w:val="170"/>
          <w:jc w:val="center"/>
        </w:trPr>
        <w:tc>
          <w:tcPr>
            <w:tcW w:w="1701" w:type="dxa"/>
            <w:vAlign w:val="center"/>
          </w:tcPr>
          <w:p w14:paraId="4C2E2214" w14:textId="77777777" w:rsidR="00DB48E0" w:rsidRDefault="00000000">
            <w:pPr>
              <w:spacing w:before="0"/>
            </w:pPr>
            <w:r>
              <w:rPr>
                <w:color w:val="000000"/>
              </w:rPr>
              <w:t>Large</w:t>
            </w:r>
          </w:p>
        </w:tc>
        <w:tc>
          <w:tcPr>
            <w:tcW w:w="1701" w:type="dxa"/>
            <w:vAlign w:val="center"/>
          </w:tcPr>
          <w:p w14:paraId="20DE3C53" w14:textId="77777777" w:rsidR="00DB48E0" w:rsidRDefault="00000000">
            <w:pPr>
              <w:spacing w:before="0"/>
              <w:jc w:val="center"/>
              <w:rPr>
                <w:color w:val="000000"/>
              </w:rPr>
            </w:pPr>
            <w:r>
              <w:rPr>
                <w:color w:val="000000"/>
              </w:rPr>
              <w:t>-5%</w:t>
            </w:r>
          </w:p>
        </w:tc>
        <w:tc>
          <w:tcPr>
            <w:tcW w:w="1701" w:type="dxa"/>
            <w:vAlign w:val="center"/>
          </w:tcPr>
          <w:p w14:paraId="08BCF494" w14:textId="77777777" w:rsidR="00DB48E0" w:rsidRDefault="00000000">
            <w:pPr>
              <w:spacing w:before="0"/>
              <w:jc w:val="center"/>
              <w:rPr>
                <w:color w:val="000000"/>
              </w:rPr>
            </w:pPr>
            <w:r>
              <w:rPr>
                <w:color w:val="000000"/>
              </w:rPr>
              <w:t>19%</w:t>
            </w:r>
          </w:p>
        </w:tc>
        <w:tc>
          <w:tcPr>
            <w:tcW w:w="1701" w:type="dxa"/>
            <w:vAlign w:val="center"/>
          </w:tcPr>
          <w:p w14:paraId="53FF7CA0" w14:textId="77777777" w:rsidR="00DB48E0" w:rsidRDefault="00000000">
            <w:pPr>
              <w:spacing w:before="0"/>
              <w:jc w:val="center"/>
              <w:rPr>
                <w:color w:val="000000"/>
              </w:rPr>
            </w:pPr>
            <w:r>
              <w:rPr>
                <w:color w:val="000000"/>
              </w:rPr>
              <w:t>-56%</w:t>
            </w:r>
          </w:p>
        </w:tc>
      </w:tr>
      <w:tr w:rsidR="00DB48E0" w14:paraId="52ED1989" w14:textId="77777777">
        <w:trPr>
          <w:trHeight w:val="170"/>
          <w:jc w:val="center"/>
        </w:trPr>
        <w:tc>
          <w:tcPr>
            <w:tcW w:w="1701" w:type="dxa"/>
            <w:vAlign w:val="center"/>
          </w:tcPr>
          <w:p w14:paraId="04735F22" w14:textId="77777777" w:rsidR="00DB48E0" w:rsidRDefault="00000000">
            <w:pPr>
              <w:spacing w:before="0"/>
            </w:pPr>
            <w:r>
              <w:rPr>
                <w:color w:val="000000"/>
              </w:rPr>
              <w:t>Low vol</w:t>
            </w:r>
          </w:p>
        </w:tc>
        <w:tc>
          <w:tcPr>
            <w:tcW w:w="1701" w:type="dxa"/>
            <w:vAlign w:val="center"/>
          </w:tcPr>
          <w:p w14:paraId="59153E7E" w14:textId="77777777" w:rsidR="00DB48E0" w:rsidRDefault="00000000">
            <w:pPr>
              <w:spacing w:before="0"/>
              <w:jc w:val="center"/>
            </w:pPr>
            <w:r>
              <w:rPr>
                <w:color w:val="000000"/>
              </w:rPr>
              <w:t>-6%</w:t>
            </w:r>
          </w:p>
        </w:tc>
        <w:tc>
          <w:tcPr>
            <w:tcW w:w="1701" w:type="dxa"/>
            <w:vAlign w:val="center"/>
          </w:tcPr>
          <w:p w14:paraId="1F0B48E2" w14:textId="77777777" w:rsidR="00DB48E0" w:rsidRDefault="00000000">
            <w:pPr>
              <w:spacing w:before="0"/>
              <w:jc w:val="center"/>
            </w:pPr>
            <w:r>
              <w:rPr>
                <w:color w:val="000000"/>
              </w:rPr>
              <w:t>14%</w:t>
            </w:r>
          </w:p>
        </w:tc>
        <w:tc>
          <w:tcPr>
            <w:tcW w:w="1701" w:type="dxa"/>
            <w:vAlign w:val="center"/>
          </w:tcPr>
          <w:p w14:paraId="0EF7C92A" w14:textId="77777777" w:rsidR="00DB48E0" w:rsidRDefault="00000000">
            <w:pPr>
              <w:spacing w:before="0"/>
              <w:jc w:val="center"/>
            </w:pPr>
            <w:r>
              <w:rPr>
                <w:color w:val="000000"/>
              </w:rPr>
              <w:t>-31%</w:t>
            </w:r>
          </w:p>
        </w:tc>
      </w:tr>
      <w:tr w:rsidR="00DB48E0" w14:paraId="438C87D3" w14:textId="77777777">
        <w:trPr>
          <w:trHeight w:val="170"/>
          <w:jc w:val="center"/>
        </w:trPr>
        <w:tc>
          <w:tcPr>
            <w:tcW w:w="1701" w:type="dxa"/>
            <w:tcBorders>
              <w:bottom w:val="single" w:sz="4" w:space="0" w:color="000000"/>
            </w:tcBorders>
            <w:vAlign w:val="center"/>
          </w:tcPr>
          <w:p w14:paraId="6CF98F55" w14:textId="77777777" w:rsidR="00DB48E0" w:rsidRDefault="00000000">
            <w:pPr>
              <w:spacing w:before="0"/>
            </w:pPr>
            <w:proofErr w:type="spellStart"/>
            <w:r>
              <w:rPr>
                <w:color w:val="000000"/>
              </w:rPr>
              <w:t>Growth</w:t>
            </w:r>
            <w:proofErr w:type="spellEnd"/>
          </w:p>
        </w:tc>
        <w:tc>
          <w:tcPr>
            <w:tcW w:w="1701" w:type="dxa"/>
            <w:tcBorders>
              <w:bottom w:val="single" w:sz="4" w:space="0" w:color="000000"/>
            </w:tcBorders>
            <w:vAlign w:val="center"/>
          </w:tcPr>
          <w:p w14:paraId="3CFCA5AB" w14:textId="77777777" w:rsidR="00DB48E0" w:rsidRDefault="00000000">
            <w:pPr>
              <w:spacing w:before="0"/>
              <w:jc w:val="center"/>
              <w:rPr>
                <w:color w:val="000000"/>
              </w:rPr>
            </w:pPr>
            <w:r>
              <w:rPr>
                <w:color w:val="000000"/>
              </w:rPr>
              <w:t>-9%</w:t>
            </w:r>
          </w:p>
        </w:tc>
        <w:tc>
          <w:tcPr>
            <w:tcW w:w="1701" w:type="dxa"/>
            <w:tcBorders>
              <w:bottom w:val="single" w:sz="4" w:space="0" w:color="000000"/>
            </w:tcBorders>
            <w:vAlign w:val="center"/>
          </w:tcPr>
          <w:p w14:paraId="436C5947" w14:textId="77777777" w:rsidR="00DB48E0" w:rsidRDefault="00000000">
            <w:pPr>
              <w:spacing w:before="0"/>
              <w:jc w:val="center"/>
              <w:rPr>
                <w:color w:val="000000"/>
              </w:rPr>
            </w:pPr>
            <w:r>
              <w:rPr>
                <w:color w:val="000000"/>
              </w:rPr>
              <w:t>19%</w:t>
            </w:r>
          </w:p>
        </w:tc>
        <w:tc>
          <w:tcPr>
            <w:tcW w:w="1701" w:type="dxa"/>
            <w:tcBorders>
              <w:bottom w:val="single" w:sz="4" w:space="0" w:color="000000"/>
            </w:tcBorders>
            <w:vAlign w:val="center"/>
          </w:tcPr>
          <w:p w14:paraId="2EA9CF90" w14:textId="77777777" w:rsidR="00DB48E0" w:rsidRDefault="00000000">
            <w:pPr>
              <w:spacing w:before="0"/>
              <w:jc w:val="center"/>
              <w:rPr>
                <w:color w:val="000000"/>
              </w:rPr>
            </w:pPr>
            <w:r>
              <w:rPr>
                <w:color w:val="000000"/>
              </w:rPr>
              <w:t>-62%</w:t>
            </w:r>
          </w:p>
        </w:tc>
      </w:tr>
    </w:tbl>
    <w:p w14:paraId="0143928E" w14:textId="77777777" w:rsidR="00DB48E0" w:rsidRDefault="00000000">
      <w:pPr>
        <w:spacing w:after="240"/>
      </w:pPr>
      <w:r>
        <w:t>Source : auteurs, mars 2025. </w:t>
      </w:r>
    </w:p>
    <w:p w14:paraId="185A1074" w14:textId="77777777" w:rsidR="00DB48E0" w:rsidRDefault="00000000">
      <w:r>
        <w:lastRenderedPageBreak/>
        <w:t>Durant cette période, toutes les stratégies d’investissement ont connu une rentabilité négative, reflétant l’effondrement généralisé du marché boursier causé par l’éclatement de la bulle internet. Les valeurs de croissance et de grande capitalisation ont été les plus fortement impactées, -9% et -5% respectivement. Ce constat est cohérent avec la nature de la crise, qui a principalement touché les valeurs technologiques et de croissance, dont la valorisation était déconnectée des fondamentaux. En effet, dans les années précédant l’éclatement de la bulle, ces entreprises affichaient des ratios Price-to-Book (P/B) et Price-to-</w:t>
      </w:r>
      <w:proofErr w:type="spellStart"/>
      <w:r>
        <w:t>Earnings</w:t>
      </w:r>
      <w:proofErr w:type="spellEnd"/>
      <w:r>
        <w:t xml:space="preserve"> (P/E) extrêmement élevés, souvent justifiés par des attentes de croissance futures exagérées. Lorsque les perspectives de rentabilité ne se sont pas matérialisées, ces titres ont subi des corrections massives.</w:t>
      </w:r>
    </w:p>
    <w:p w14:paraId="5235F4D4" w14:textId="77777777" w:rsidR="00DB48E0" w:rsidRDefault="00000000">
      <w:r>
        <w:t>Les autres stratégies ont mieux résisté avec des rentabilités allant de -3% à 3%.  Les petites capitalisations comprenaient notamment moins d’entreprises surévaluées et déconnectées des fondamentaux.</w:t>
      </w:r>
    </w:p>
    <w:p w14:paraId="7AFE4151" w14:textId="77777777" w:rsidR="00DB48E0" w:rsidRDefault="00000000">
      <w:r>
        <w:t xml:space="preserve">Toutes les stratégies ont connu des volatilités élevées et similaires pendant la période de la crise de la bulle internet, 20% pour le style value et 19% pour les autres styles excepté le style </w:t>
      </w:r>
      <w:proofErr w:type="spellStart"/>
      <w:r>
        <w:t>Quality</w:t>
      </w:r>
      <w:proofErr w:type="spellEnd"/>
      <w:r>
        <w:t>. En effet, les valeurs avec des fondamentaux solides ont connu une volatilité relativement inférieure. Cela étant, aucun style n’a pu émerger comme un refuge contre la baisse pendant cette période de forte turbulence.</w:t>
      </w:r>
    </w:p>
    <w:p w14:paraId="071CAFEC" w14:textId="77777777" w:rsidR="00DB48E0" w:rsidRDefault="00000000">
      <w:r>
        <w:t xml:space="preserve">Les valeurs de croissance (-62%), de grande capitalisation (-56%) et </w:t>
      </w:r>
      <w:proofErr w:type="spellStart"/>
      <w:r>
        <w:t>momentum</w:t>
      </w:r>
      <w:proofErr w:type="spellEnd"/>
      <w:r>
        <w:t xml:space="preserve"> (-56%) ont enregistré les plus fortes chutes maximales (maximum </w:t>
      </w:r>
      <w:proofErr w:type="spellStart"/>
      <w:r>
        <w:t>drawdown</w:t>
      </w:r>
      <w:proofErr w:type="spellEnd"/>
      <w:r>
        <w:t>) sur la période. Ces chiffres traduisent la violence de l’éclatement de la bulle internet, qui a particulièrement touché les entreprises ayant bénéficié de l’euphorie spéculative des années 1995-2000. En effet, avant le krach, les investisseurs s’étaient rués sur les valeurs technologiques et de croissance, faisant grimper leurs valorisations à des niveaux excessifs, avec des ratios Price-to-</w:t>
      </w:r>
      <w:proofErr w:type="spellStart"/>
      <w:r>
        <w:t>Earnings</w:t>
      </w:r>
      <w:proofErr w:type="spellEnd"/>
      <w:r>
        <w:t xml:space="preserve"> (P/E) dépassant parfois 100 pour certaines entreprises. Lorsque la bulle a éclaté, ces entreprises, souvent peu rentables et fortement dépendantes d’investissements futurs, ont été les premières à s’effondrer. La chute des grandes capitalisations s’explique par la domination des valeurs technologiques au sein des indices boursiers à l’époque. Le style </w:t>
      </w:r>
      <w:proofErr w:type="spellStart"/>
      <w:r>
        <w:t>momentum</w:t>
      </w:r>
      <w:proofErr w:type="spellEnd"/>
      <w:r>
        <w:t xml:space="preserve"> a également été durement touché, ce qui est cohérent avec sa nature : en phase haussière, cette stratégie surperforme en captant les tendances du marché, mais en cas de retournement brutal, elle amplifie les pertes, car les investisseurs abandonnent massivement les titres précédemment en vogue. Durant la bulle, le </w:t>
      </w:r>
      <w:proofErr w:type="spellStart"/>
      <w:r>
        <w:t>momentum</w:t>
      </w:r>
      <w:proofErr w:type="spellEnd"/>
      <w:r>
        <w:t xml:space="preserve"> était dominé par les valeurs technologiques, qui se sont littéralement effondrées une fois le retournement enclenché.</w:t>
      </w:r>
    </w:p>
    <w:p w14:paraId="7295AEFF" w14:textId="77777777" w:rsidR="00DB48E0" w:rsidRDefault="00000000">
      <w:r>
        <w:t>A noter que les données sur le style volatilité minimale commençant en novembre 2001 et ne sont donc pas significatives dans l’analyse.</w:t>
      </w:r>
    </w:p>
    <w:p w14:paraId="73676AAA" w14:textId="77777777" w:rsidR="00DB48E0" w:rsidRDefault="00000000">
      <w:pPr>
        <w:pStyle w:val="Titre3"/>
      </w:pPr>
      <w:bookmarkStart w:id="33" w:name="_Toc194078572"/>
      <w:r>
        <w:t>Milieu des années 2000 (décembre 2003 – décembre 2007)</w:t>
      </w:r>
      <w:bookmarkEnd w:id="33"/>
    </w:p>
    <w:p w14:paraId="6173E9AD" w14:textId="77777777" w:rsidR="00DB48E0" w:rsidRDefault="00000000">
      <w:r>
        <w:t xml:space="preserve">Le milieu des années 2000, entre décembre 2003 et décembre 2007, correspond à une période d’expansion économique et de forte performance des marchés financiers. Après l’éclatement de la bulle internet et le ralentissement économique du début des années 2000, les banques centrales, notamment la BCE et la Fed, ont adopté des politiques monétaires accommodantes, avec des taux d’intérêt historiquement bas. La croissance mondiale était robuste, soutenue par la montée en puissance des BRICS, une forte consommation et un accès au crédit facilité. Les marchés financiers ont connu une période haussière, avec le </w:t>
      </w:r>
      <w:proofErr w:type="spellStart"/>
      <w:r>
        <w:t>Stoxx</w:t>
      </w:r>
      <w:proofErr w:type="spellEnd"/>
      <w:r>
        <w:t xml:space="preserve"> 600 Europe progressant de plus de 150 % entre 2003 et 2007. Cependant, cette phase a également vu la montée </w:t>
      </w:r>
      <w:r>
        <w:lastRenderedPageBreak/>
        <w:t xml:space="preserve">des excès du crédit et des innovations financières risquées, qui mèneront à la crise des </w:t>
      </w:r>
      <w:proofErr w:type="spellStart"/>
      <w:r>
        <w:t>subprimes</w:t>
      </w:r>
      <w:proofErr w:type="spellEnd"/>
      <w:r>
        <w:t xml:space="preserve"> en 2007-2008.</w:t>
      </w:r>
    </w:p>
    <w:p w14:paraId="36D87DAC" w14:textId="510C5734" w:rsidR="00DB48E0" w:rsidRDefault="00A27748" w:rsidP="00A27748">
      <w:pPr>
        <w:pStyle w:val="Lgende"/>
        <w:rPr>
          <w:b w:val="0"/>
          <w:color w:val="000000"/>
        </w:rPr>
      </w:pPr>
      <w:bookmarkStart w:id="34" w:name="_heading=h.d4a5e3knh3yw" w:colFirst="0" w:colLast="0"/>
      <w:bookmarkStart w:id="35" w:name="_Toc194078597"/>
      <w:bookmarkEnd w:id="34"/>
      <w:r>
        <w:t xml:space="preserve">Tableau </w:t>
      </w:r>
      <w:fldSimple w:instr=" SEQ Tableau \* ARABIC ">
        <w:r w:rsidR="004D7D3B">
          <w:rPr>
            <w:noProof/>
          </w:rPr>
          <w:t>7</w:t>
        </w:r>
      </w:fldSimple>
      <w:r>
        <w:rPr>
          <w:color w:val="000000"/>
        </w:rPr>
        <w:t>. Indicateurs de performances et de risque des styles pendant le milieu des années 2000</w:t>
      </w:r>
      <w:bookmarkEnd w:id="35"/>
    </w:p>
    <w:tbl>
      <w:tblPr>
        <w:tblStyle w:val="a5"/>
        <w:tblW w:w="680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701"/>
        <w:gridCol w:w="1701"/>
        <w:gridCol w:w="1701"/>
        <w:gridCol w:w="1701"/>
      </w:tblGrid>
      <w:tr w:rsidR="00DB48E0" w14:paraId="544BA07D" w14:textId="77777777">
        <w:trPr>
          <w:jc w:val="center"/>
        </w:trPr>
        <w:tc>
          <w:tcPr>
            <w:tcW w:w="1701" w:type="dxa"/>
            <w:tcBorders>
              <w:top w:val="single" w:sz="4" w:space="0" w:color="000000"/>
              <w:bottom w:val="single" w:sz="4" w:space="0" w:color="000000"/>
            </w:tcBorders>
            <w:vAlign w:val="center"/>
          </w:tcPr>
          <w:p w14:paraId="2A59F193" w14:textId="77777777" w:rsidR="00DB48E0" w:rsidRDefault="00000000">
            <w:pPr>
              <w:jc w:val="left"/>
            </w:pPr>
            <w:r>
              <w:t>Styles d’investissement</w:t>
            </w:r>
          </w:p>
        </w:tc>
        <w:tc>
          <w:tcPr>
            <w:tcW w:w="1701" w:type="dxa"/>
            <w:tcBorders>
              <w:top w:val="single" w:sz="4" w:space="0" w:color="000000"/>
              <w:bottom w:val="single" w:sz="4" w:space="0" w:color="000000"/>
            </w:tcBorders>
            <w:vAlign w:val="center"/>
          </w:tcPr>
          <w:p w14:paraId="57954FD2" w14:textId="77777777" w:rsidR="00DB48E0" w:rsidRDefault="00000000">
            <w:pPr>
              <w:jc w:val="center"/>
            </w:pPr>
            <w:r>
              <w:t>Rentabilité annuelle</w:t>
            </w:r>
          </w:p>
        </w:tc>
        <w:tc>
          <w:tcPr>
            <w:tcW w:w="1701" w:type="dxa"/>
            <w:tcBorders>
              <w:top w:val="single" w:sz="4" w:space="0" w:color="000000"/>
              <w:bottom w:val="single" w:sz="4" w:space="0" w:color="000000"/>
            </w:tcBorders>
            <w:vAlign w:val="center"/>
          </w:tcPr>
          <w:p w14:paraId="162406B4" w14:textId="77777777" w:rsidR="00DB48E0" w:rsidRDefault="00000000">
            <w:pPr>
              <w:jc w:val="center"/>
            </w:pPr>
            <w:r>
              <w:t>Volatilité annuelle</w:t>
            </w:r>
          </w:p>
        </w:tc>
        <w:tc>
          <w:tcPr>
            <w:tcW w:w="1701" w:type="dxa"/>
            <w:tcBorders>
              <w:top w:val="single" w:sz="4" w:space="0" w:color="000000"/>
              <w:bottom w:val="single" w:sz="4" w:space="0" w:color="000000"/>
            </w:tcBorders>
            <w:vAlign w:val="center"/>
          </w:tcPr>
          <w:p w14:paraId="7F21F1F1" w14:textId="77777777" w:rsidR="00DB48E0" w:rsidRDefault="00000000">
            <w:pPr>
              <w:jc w:val="center"/>
            </w:pPr>
            <w:r>
              <w:t xml:space="preserve">Max </w:t>
            </w:r>
            <w:proofErr w:type="spellStart"/>
            <w:r>
              <w:t>drawdown</w:t>
            </w:r>
            <w:proofErr w:type="spellEnd"/>
          </w:p>
        </w:tc>
      </w:tr>
      <w:tr w:rsidR="00DB48E0" w14:paraId="34117A2B" w14:textId="77777777">
        <w:trPr>
          <w:trHeight w:val="170"/>
          <w:jc w:val="center"/>
        </w:trPr>
        <w:tc>
          <w:tcPr>
            <w:tcW w:w="1701" w:type="dxa"/>
            <w:tcBorders>
              <w:top w:val="single" w:sz="4" w:space="0" w:color="000000"/>
            </w:tcBorders>
            <w:vAlign w:val="center"/>
          </w:tcPr>
          <w:p w14:paraId="7458B1A6" w14:textId="77777777" w:rsidR="00DB48E0" w:rsidRDefault="00000000">
            <w:r>
              <w:rPr>
                <w:color w:val="000000"/>
              </w:rPr>
              <w:t>Momentum</w:t>
            </w:r>
          </w:p>
        </w:tc>
        <w:tc>
          <w:tcPr>
            <w:tcW w:w="1701" w:type="dxa"/>
            <w:tcBorders>
              <w:top w:val="single" w:sz="4" w:space="0" w:color="000000"/>
            </w:tcBorders>
            <w:vAlign w:val="center"/>
          </w:tcPr>
          <w:p w14:paraId="09A43022" w14:textId="77777777" w:rsidR="00DB48E0" w:rsidRDefault="00000000">
            <w:pPr>
              <w:jc w:val="center"/>
              <w:rPr>
                <w:color w:val="000000"/>
              </w:rPr>
            </w:pPr>
            <w:r>
              <w:rPr>
                <w:color w:val="000000"/>
              </w:rPr>
              <w:t>21%</w:t>
            </w:r>
          </w:p>
        </w:tc>
        <w:tc>
          <w:tcPr>
            <w:tcW w:w="1701" w:type="dxa"/>
            <w:tcBorders>
              <w:top w:val="single" w:sz="4" w:space="0" w:color="000000"/>
            </w:tcBorders>
            <w:vAlign w:val="center"/>
          </w:tcPr>
          <w:p w14:paraId="7AD74185" w14:textId="77777777" w:rsidR="00DB48E0" w:rsidRDefault="00000000">
            <w:pPr>
              <w:jc w:val="center"/>
              <w:rPr>
                <w:color w:val="000000"/>
              </w:rPr>
            </w:pPr>
            <w:r>
              <w:rPr>
                <w:color w:val="000000"/>
              </w:rPr>
              <w:t>10%</w:t>
            </w:r>
          </w:p>
        </w:tc>
        <w:tc>
          <w:tcPr>
            <w:tcW w:w="1701" w:type="dxa"/>
            <w:tcBorders>
              <w:top w:val="single" w:sz="4" w:space="0" w:color="000000"/>
            </w:tcBorders>
            <w:vAlign w:val="center"/>
          </w:tcPr>
          <w:p w14:paraId="2EF97BDC" w14:textId="77777777" w:rsidR="00DB48E0" w:rsidRDefault="00000000">
            <w:pPr>
              <w:jc w:val="center"/>
              <w:rPr>
                <w:color w:val="000000"/>
              </w:rPr>
            </w:pPr>
            <w:r>
              <w:rPr>
                <w:color w:val="000000"/>
              </w:rPr>
              <w:t>-7%</w:t>
            </w:r>
          </w:p>
        </w:tc>
      </w:tr>
      <w:tr w:rsidR="00DB48E0" w14:paraId="10825DC5" w14:textId="77777777">
        <w:trPr>
          <w:trHeight w:val="170"/>
          <w:jc w:val="center"/>
        </w:trPr>
        <w:tc>
          <w:tcPr>
            <w:tcW w:w="1701" w:type="dxa"/>
            <w:vAlign w:val="center"/>
          </w:tcPr>
          <w:p w14:paraId="1D8895E5" w14:textId="77777777" w:rsidR="00DB48E0" w:rsidRDefault="00000000">
            <w:pPr>
              <w:spacing w:before="0"/>
            </w:pPr>
            <w:r>
              <w:rPr>
                <w:color w:val="000000"/>
              </w:rPr>
              <w:t>Small</w:t>
            </w:r>
          </w:p>
        </w:tc>
        <w:tc>
          <w:tcPr>
            <w:tcW w:w="1701" w:type="dxa"/>
            <w:vAlign w:val="center"/>
          </w:tcPr>
          <w:p w14:paraId="1BEB369A" w14:textId="77777777" w:rsidR="00DB48E0" w:rsidRDefault="00000000">
            <w:pPr>
              <w:spacing w:before="0"/>
              <w:jc w:val="center"/>
              <w:rPr>
                <w:color w:val="000000"/>
              </w:rPr>
            </w:pPr>
            <w:r>
              <w:rPr>
                <w:color w:val="000000"/>
              </w:rPr>
              <w:t>17%</w:t>
            </w:r>
          </w:p>
        </w:tc>
        <w:tc>
          <w:tcPr>
            <w:tcW w:w="1701" w:type="dxa"/>
            <w:vAlign w:val="center"/>
          </w:tcPr>
          <w:p w14:paraId="299A8591" w14:textId="77777777" w:rsidR="00DB48E0" w:rsidRDefault="00000000">
            <w:pPr>
              <w:spacing w:before="0"/>
              <w:jc w:val="center"/>
              <w:rPr>
                <w:color w:val="000000"/>
              </w:rPr>
            </w:pPr>
            <w:r>
              <w:rPr>
                <w:color w:val="000000"/>
              </w:rPr>
              <w:t>13%</w:t>
            </w:r>
          </w:p>
        </w:tc>
        <w:tc>
          <w:tcPr>
            <w:tcW w:w="1701" w:type="dxa"/>
            <w:vAlign w:val="center"/>
          </w:tcPr>
          <w:p w14:paraId="2802DA6D" w14:textId="77777777" w:rsidR="00DB48E0" w:rsidRDefault="00000000">
            <w:pPr>
              <w:spacing w:before="0"/>
              <w:jc w:val="center"/>
              <w:rPr>
                <w:color w:val="000000"/>
              </w:rPr>
            </w:pPr>
            <w:r>
              <w:rPr>
                <w:color w:val="000000"/>
              </w:rPr>
              <w:t>-19%</w:t>
            </w:r>
          </w:p>
        </w:tc>
      </w:tr>
      <w:tr w:rsidR="00DB48E0" w14:paraId="342B9B6D" w14:textId="77777777">
        <w:trPr>
          <w:trHeight w:val="170"/>
          <w:jc w:val="center"/>
        </w:trPr>
        <w:tc>
          <w:tcPr>
            <w:tcW w:w="1701" w:type="dxa"/>
            <w:vAlign w:val="center"/>
          </w:tcPr>
          <w:p w14:paraId="7453FDB2" w14:textId="77777777" w:rsidR="00DB48E0" w:rsidRDefault="00000000">
            <w:pPr>
              <w:spacing w:before="0"/>
            </w:pPr>
            <w:r>
              <w:rPr>
                <w:color w:val="000000"/>
              </w:rPr>
              <w:t>Low vol</w:t>
            </w:r>
          </w:p>
        </w:tc>
        <w:tc>
          <w:tcPr>
            <w:tcW w:w="1701" w:type="dxa"/>
            <w:vAlign w:val="center"/>
          </w:tcPr>
          <w:p w14:paraId="5538792B" w14:textId="77777777" w:rsidR="00DB48E0" w:rsidRDefault="00000000">
            <w:pPr>
              <w:spacing w:before="0"/>
              <w:jc w:val="center"/>
              <w:rPr>
                <w:color w:val="000000"/>
              </w:rPr>
            </w:pPr>
            <w:r>
              <w:rPr>
                <w:color w:val="000000"/>
              </w:rPr>
              <w:t>14%</w:t>
            </w:r>
          </w:p>
        </w:tc>
        <w:tc>
          <w:tcPr>
            <w:tcW w:w="1701" w:type="dxa"/>
            <w:vAlign w:val="center"/>
          </w:tcPr>
          <w:p w14:paraId="728D48D9" w14:textId="77777777" w:rsidR="00DB48E0" w:rsidRDefault="00000000">
            <w:pPr>
              <w:spacing w:before="0"/>
              <w:jc w:val="center"/>
              <w:rPr>
                <w:color w:val="000000"/>
              </w:rPr>
            </w:pPr>
            <w:r>
              <w:rPr>
                <w:color w:val="000000"/>
              </w:rPr>
              <w:t>7%</w:t>
            </w:r>
          </w:p>
        </w:tc>
        <w:tc>
          <w:tcPr>
            <w:tcW w:w="1701" w:type="dxa"/>
            <w:vAlign w:val="center"/>
          </w:tcPr>
          <w:p w14:paraId="3130B20E" w14:textId="77777777" w:rsidR="00DB48E0" w:rsidRDefault="00000000">
            <w:pPr>
              <w:spacing w:before="0"/>
              <w:jc w:val="center"/>
              <w:rPr>
                <w:color w:val="000000"/>
              </w:rPr>
            </w:pPr>
            <w:r>
              <w:rPr>
                <w:color w:val="000000"/>
              </w:rPr>
              <w:t>-10%</w:t>
            </w:r>
          </w:p>
        </w:tc>
      </w:tr>
      <w:tr w:rsidR="00DB48E0" w14:paraId="5F130E49" w14:textId="77777777">
        <w:trPr>
          <w:trHeight w:val="170"/>
          <w:jc w:val="center"/>
        </w:trPr>
        <w:tc>
          <w:tcPr>
            <w:tcW w:w="1701" w:type="dxa"/>
            <w:vAlign w:val="center"/>
          </w:tcPr>
          <w:p w14:paraId="07F6845C" w14:textId="77777777" w:rsidR="00DB48E0" w:rsidRDefault="00000000">
            <w:pPr>
              <w:spacing w:before="0"/>
            </w:pPr>
            <w:r>
              <w:rPr>
                <w:color w:val="000000"/>
              </w:rPr>
              <w:t>Value</w:t>
            </w:r>
          </w:p>
        </w:tc>
        <w:tc>
          <w:tcPr>
            <w:tcW w:w="1701" w:type="dxa"/>
            <w:vAlign w:val="center"/>
          </w:tcPr>
          <w:p w14:paraId="17407625" w14:textId="77777777" w:rsidR="00DB48E0" w:rsidRDefault="00000000">
            <w:pPr>
              <w:spacing w:before="0"/>
              <w:jc w:val="center"/>
              <w:rPr>
                <w:color w:val="000000"/>
              </w:rPr>
            </w:pPr>
            <w:r>
              <w:rPr>
                <w:color w:val="000000"/>
              </w:rPr>
              <w:t>12%</w:t>
            </w:r>
          </w:p>
        </w:tc>
        <w:tc>
          <w:tcPr>
            <w:tcW w:w="1701" w:type="dxa"/>
            <w:vAlign w:val="center"/>
          </w:tcPr>
          <w:p w14:paraId="1F01302D" w14:textId="77777777" w:rsidR="00DB48E0" w:rsidRDefault="00000000">
            <w:pPr>
              <w:spacing w:before="0"/>
              <w:jc w:val="center"/>
              <w:rPr>
                <w:color w:val="000000"/>
              </w:rPr>
            </w:pPr>
            <w:r>
              <w:rPr>
                <w:color w:val="000000"/>
              </w:rPr>
              <w:t>9%</w:t>
            </w:r>
          </w:p>
        </w:tc>
        <w:tc>
          <w:tcPr>
            <w:tcW w:w="1701" w:type="dxa"/>
            <w:vAlign w:val="center"/>
          </w:tcPr>
          <w:p w14:paraId="0BA1F3CF" w14:textId="77777777" w:rsidR="00DB48E0" w:rsidRDefault="00000000">
            <w:pPr>
              <w:spacing w:before="0"/>
              <w:jc w:val="center"/>
              <w:rPr>
                <w:color w:val="000000"/>
              </w:rPr>
            </w:pPr>
            <w:r>
              <w:rPr>
                <w:color w:val="000000"/>
              </w:rPr>
              <w:t>-12%</w:t>
            </w:r>
          </w:p>
        </w:tc>
      </w:tr>
      <w:tr w:rsidR="00DB48E0" w14:paraId="3030AAEC" w14:textId="77777777">
        <w:trPr>
          <w:trHeight w:val="170"/>
          <w:jc w:val="center"/>
        </w:trPr>
        <w:tc>
          <w:tcPr>
            <w:tcW w:w="1701" w:type="dxa"/>
            <w:vAlign w:val="center"/>
          </w:tcPr>
          <w:p w14:paraId="7917E84C" w14:textId="77777777" w:rsidR="00DB48E0" w:rsidRDefault="00000000">
            <w:pPr>
              <w:spacing w:before="0"/>
            </w:pPr>
            <w:proofErr w:type="spellStart"/>
            <w:r>
              <w:rPr>
                <w:color w:val="000000"/>
              </w:rPr>
              <w:t>Market</w:t>
            </w:r>
            <w:proofErr w:type="spellEnd"/>
          </w:p>
        </w:tc>
        <w:tc>
          <w:tcPr>
            <w:tcW w:w="1701" w:type="dxa"/>
            <w:vAlign w:val="center"/>
          </w:tcPr>
          <w:p w14:paraId="2537AD63" w14:textId="77777777" w:rsidR="00DB48E0" w:rsidRDefault="00000000">
            <w:pPr>
              <w:spacing w:before="0"/>
              <w:jc w:val="center"/>
              <w:rPr>
                <w:color w:val="000000"/>
              </w:rPr>
            </w:pPr>
            <w:r>
              <w:rPr>
                <w:color w:val="000000"/>
              </w:rPr>
              <w:t>12%</w:t>
            </w:r>
          </w:p>
        </w:tc>
        <w:tc>
          <w:tcPr>
            <w:tcW w:w="1701" w:type="dxa"/>
            <w:vAlign w:val="center"/>
          </w:tcPr>
          <w:p w14:paraId="64037984" w14:textId="77777777" w:rsidR="00DB48E0" w:rsidRDefault="00000000">
            <w:pPr>
              <w:spacing w:before="0"/>
              <w:jc w:val="center"/>
              <w:rPr>
                <w:color w:val="000000"/>
              </w:rPr>
            </w:pPr>
            <w:r>
              <w:rPr>
                <w:color w:val="000000"/>
              </w:rPr>
              <w:t>8%</w:t>
            </w:r>
          </w:p>
        </w:tc>
        <w:tc>
          <w:tcPr>
            <w:tcW w:w="1701" w:type="dxa"/>
            <w:vAlign w:val="center"/>
          </w:tcPr>
          <w:p w14:paraId="7459B2E3" w14:textId="77777777" w:rsidR="00DB48E0" w:rsidRDefault="00000000">
            <w:pPr>
              <w:spacing w:before="0"/>
              <w:jc w:val="center"/>
              <w:rPr>
                <w:color w:val="000000"/>
              </w:rPr>
            </w:pPr>
            <w:r>
              <w:rPr>
                <w:color w:val="000000"/>
              </w:rPr>
              <w:t>-8%</w:t>
            </w:r>
          </w:p>
        </w:tc>
      </w:tr>
      <w:tr w:rsidR="00DB48E0" w14:paraId="4095035C" w14:textId="77777777">
        <w:trPr>
          <w:trHeight w:val="170"/>
          <w:jc w:val="center"/>
        </w:trPr>
        <w:tc>
          <w:tcPr>
            <w:tcW w:w="1701" w:type="dxa"/>
            <w:vAlign w:val="center"/>
          </w:tcPr>
          <w:p w14:paraId="5619EE55" w14:textId="77777777" w:rsidR="00DB48E0" w:rsidRDefault="00000000">
            <w:pPr>
              <w:spacing w:before="0"/>
            </w:pPr>
            <w:proofErr w:type="spellStart"/>
            <w:r>
              <w:rPr>
                <w:color w:val="000000"/>
              </w:rPr>
              <w:t>Quality</w:t>
            </w:r>
            <w:proofErr w:type="spellEnd"/>
          </w:p>
        </w:tc>
        <w:tc>
          <w:tcPr>
            <w:tcW w:w="1701" w:type="dxa"/>
            <w:vAlign w:val="center"/>
          </w:tcPr>
          <w:p w14:paraId="3BD92179" w14:textId="77777777" w:rsidR="00DB48E0" w:rsidRDefault="00000000">
            <w:pPr>
              <w:spacing w:before="0"/>
              <w:jc w:val="center"/>
              <w:rPr>
                <w:color w:val="000000"/>
              </w:rPr>
            </w:pPr>
            <w:r>
              <w:rPr>
                <w:color w:val="000000"/>
              </w:rPr>
              <w:t>12%</w:t>
            </w:r>
          </w:p>
        </w:tc>
        <w:tc>
          <w:tcPr>
            <w:tcW w:w="1701" w:type="dxa"/>
            <w:vAlign w:val="center"/>
          </w:tcPr>
          <w:p w14:paraId="13E5FCB2" w14:textId="77777777" w:rsidR="00DB48E0" w:rsidRDefault="00000000">
            <w:pPr>
              <w:spacing w:before="0"/>
              <w:jc w:val="center"/>
              <w:rPr>
                <w:color w:val="000000"/>
              </w:rPr>
            </w:pPr>
            <w:r>
              <w:rPr>
                <w:color w:val="000000"/>
              </w:rPr>
              <w:t>8%</w:t>
            </w:r>
          </w:p>
        </w:tc>
        <w:tc>
          <w:tcPr>
            <w:tcW w:w="1701" w:type="dxa"/>
            <w:vAlign w:val="center"/>
          </w:tcPr>
          <w:p w14:paraId="791BF50E" w14:textId="77777777" w:rsidR="00DB48E0" w:rsidRDefault="00000000">
            <w:pPr>
              <w:spacing w:before="0"/>
              <w:jc w:val="center"/>
              <w:rPr>
                <w:color w:val="000000"/>
              </w:rPr>
            </w:pPr>
            <w:r>
              <w:rPr>
                <w:color w:val="000000"/>
              </w:rPr>
              <w:t>-4%</w:t>
            </w:r>
          </w:p>
        </w:tc>
      </w:tr>
      <w:tr w:rsidR="00DB48E0" w14:paraId="4B648183" w14:textId="77777777">
        <w:trPr>
          <w:trHeight w:val="170"/>
          <w:jc w:val="center"/>
        </w:trPr>
        <w:tc>
          <w:tcPr>
            <w:tcW w:w="1701" w:type="dxa"/>
            <w:vAlign w:val="center"/>
          </w:tcPr>
          <w:p w14:paraId="2FAEC234" w14:textId="77777777" w:rsidR="00DB48E0" w:rsidRDefault="00000000">
            <w:pPr>
              <w:spacing w:before="0"/>
            </w:pPr>
            <w:proofErr w:type="spellStart"/>
            <w:r>
              <w:rPr>
                <w:color w:val="000000"/>
              </w:rPr>
              <w:t>Growth</w:t>
            </w:r>
            <w:proofErr w:type="spellEnd"/>
          </w:p>
        </w:tc>
        <w:tc>
          <w:tcPr>
            <w:tcW w:w="1701" w:type="dxa"/>
            <w:vAlign w:val="center"/>
          </w:tcPr>
          <w:p w14:paraId="5E5D204D" w14:textId="77777777" w:rsidR="00DB48E0" w:rsidRDefault="00000000">
            <w:pPr>
              <w:spacing w:before="0"/>
              <w:jc w:val="center"/>
            </w:pPr>
            <w:r>
              <w:rPr>
                <w:color w:val="000000"/>
              </w:rPr>
              <w:t>12%</w:t>
            </w:r>
          </w:p>
        </w:tc>
        <w:tc>
          <w:tcPr>
            <w:tcW w:w="1701" w:type="dxa"/>
            <w:vAlign w:val="center"/>
          </w:tcPr>
          <w:p w14:paraId="35AD1AE4" w14:textId="77777777" w:rsidR="00DB48E0" w:rsidRDefault="00000000">
            <w:pPr>
              <w:spacing w:before="0"/>
              <w:jc w:val="center"/>
            </w:pPr>
            <w:r>
              <w:rPr>
                <w:color w:val="000000"/>
              </w:rPr>
              <w:t>8%</w:t>
            </w:r>
          </w:p>
        </w:tc>
        <w:tc>
          <w:tcPr>
            <w:tcW w:w="1701" w:type="dxa"/>
            <w:vAlign w:val="center"/>
          </w:tcPr>
          <w:p w14:paraId="4CED6C67" w14:textId="77777777" w:rsidR="00DB48E0" w:rsidRDefault="00000000">
            <w:pPr>
              <w:spacing w:before="0"/>
              <w:jc w:val="center"/>
            </w:pPr>
            <w:r>
              <w:rPr>
                <w:color w:val="000000"/>
              </w:rPr>
              <w:t>-5%</w:t>
            </w:r>
          </w:p>
        </w:tc>
      </w:tr>
      <w:tr w:rsidR="00DB48E0" w14:paraId="2C2AB9C9" w14:textId="77777777">
        <w:trPr>
          <w:trHeight w:val="170"/>
          <w:jc w:val="center"/>
        </w:trPr>
        <w:tc>
          <w:tcPr>
            <w:tcW w:w="1701" w:type="dxa"/>
            <w:tcBorders>
              <w:bottom w:val="single" w:sz="4" w:space="0" w:color="000000"/>
            </w:tcBorders>
            <w:vAlign w:val="center"/>
          </w:tcPr>
          <w:p w14:paraId="69C94D1D" w14:textId="77777777" w:rsidR="00DB48E0" w:rsidRDefault="00000000">
            <w:pPr>
              <w:spacing w:before="0"/>
            </w:pPr>
            <w:r>
              <w:rPr>
                <w:color w:val="000000"/>
              </w:rPr>
              <w:t>Large</w:t>
            </w:r>
          </w:p>
        </w:tc>
        <w:tc>
          <w:tcPr>
            <w:tcW w:w="1701" w:type="dxa"/>
            <w:tcBorders>
              <w:bottom w:val="single" w:sz="4" w:space="0" w:color="000000"/>
            </w:tcBorders>
            <w:vAlign w:val="center"/>
          </w:tcPr>
          <w:p w14:paraId="6AA03929" w14:textId="77777777" w:rsidR="00DB48E0" w:rsidRDefault="00000000">
            <w:pPr>
              <w:spacing w:before="0"/>
              <w:jc w:val="center"/>
              <w:rPr>
                <w:color w:val="000000"/>
              </w:rPr>
            </w:pPr>
            <w:r>
              <w:rPr>
                <w:color w:val="000000"/>
              </w:rPr>
              <w:t>11%</w:t>
            </w:r>
          </w:p>
        </w:tc>
        <w:tc>
          <w:tcPr>
            <w:tcW w:w="1701" w:type="dxa"/>
            <w:tcBorders>
              <w:bottom w:val="single" w:sz="4" w:space="0" w:color="000000"/>
            </w:tcBorders>
            <w:vAlign w:val="center"/>
          </w:tcPr>
          <w:p w14:paraId="1FBDBBC1" w14:textId="77777777" w:rsidR="00DB48E0" w:rsidRDefault="00000000">
            <w:pPr>
              <w:spacing w:before="0"/>
              <w:jc w:val="center"/>
              <w:rPr>
                <w:color w:val="000000"/>
              </w:rPr>
            </w:pPr>
            <w:r>
              <w:rPr>
                <w:color w:val="000000"/>
              </w:rPr>
              <w:t>8%</w:t>
            </w:r>
          </w:p>
        </w:tc>
        <w:tc>
          <w:tcPr>
            <w:tcW w:w="1701" w:type="dxa"/>
            <w:tcBorders>
              <w:bottom w:val="single" w:sz="4" w:space="0" w:color="000000"/>
            </w:tcBorders>
            <w:vAlign w:val="center"/>
          </w:tcPr>
          <w:p w14:paraId="4CD89721" w14:textId="77777777" w:rsidR="00DB48E0" w:rsidRDefault="00000000">
            <w:pPr>
              <w:spacing w:before="0"/>
              <w:jc w:val="center"/>
              <w:rPr>
                <w:color w:val="000000"/>
              </w:rPr>
            </w:pPr>
            <w:r>
              <w:rPr>
                <w:color w:val="000000"/>
              </w:rPr>
              <w:t>-6%</w:t>
            </w:r>
          </w:p>
        </w:tc>
      </w:tr>
    </w:tbl>
    <w:p w14:paraId="7E2623F7" w14:textId="77777777" w:rsidR="00DB48E0" w:rsidRDefault="00000000">
      <w:pPr>
        <w:spacing w:after="240"/>
      </w:pPr>
      <w:r>
        <w:t>Source : auteurs, mars 2025. </w:t>
      </w:r>
    </w:p>
    <w:p w14:paraId="183EB3AB" w14:textId="77777777" w:rsidR="00DB48E0" w:rsidRDefault="00000000">
      <w:r>
        <w:t xml:space="preserve">Pendant la phase de reprise au sortir de la bulle internet, toutes les stratégies d’investissement connaissent une période de croissance. Après la stratégie </w:t>
      </w:r>
      <w:proofErr w:type="spellStart"/>
      <w:r>
        <w:t>momentum</w:t>
      </w:r>
      <w:proofErr w:type="spellEnd"/>
      <w:r>
        <w:t xml:space="preserve">, les petites capitalisations connaissent la plus forte hausse, 17%, profitant de l’afflux de capitaux facilement accessible vers les stratégies considérées comme plus risquées. De même pour </w:t>
      </w:r>
      <w:proofErr w:type="gramStart"/>
      <w:r>
        <w:t>les stratégies value</w:t>
      </w:r>
      <w:proofErr w:type="gramEnd"/>
      <w:r>
        <w:t xml:space="preserve"> portées par la préférence des investisseurs pour les titres à valorisation raisonnable, après le traumatisme sur les valorisations excessives. La performance de la stratégie </w:t>
      </w:r>
      <w:proofErr w:type="spellStart"/>
      <w:r>
        <w:t>momentum</w:t>
      </w:r>
      <w:proofErr w:type="spellEnd"/>
      <w:r>
        <w:t xml:space="preserve"> trouve sa source dans la tendance haussière globale du marché.</w:t>
      </w:r>
    </w:p>
    <w:p w14:paraId="387F6131" w14:textId="77777777" w:rsidR="00DB48E0" w:rsidRDefault="00000000">
      <w:r>
        <w:t>De manière intéressante, la stratégie à volatilité minimale affiche une rentabilité supérieure aux grandes capitalisations, aux valeurs de croissance et à fondamentaux solides. Cela peut s’expliquer par la préférence des investisseurs pour les titres moins volatiles pour se prémunir d’un retour des fortes turbulences sur le marché.</w:t>
      </w:r>
    </w:p>
    <w:p w14:paraId="09C065E0" w14:textId="77777777" w:rsidR="00DB48E0" w:rsidRDefault="00000000">
      <w:r>
        <w:t xml:space="preserve">Globalement, la volatilité a chuté sur les marchés par rapport à la période précédente, allant de 7% à 13%, quand il était plutôt question de 19% et 20% auparavant. De manière peu surprenante, les petites capitalisations affichent le plus haut niveau de risque, 13%, suivies par les valeurs de </w:t>
      </w:r>
      <w:proofErr w:type="spellStart"/>
      <w:r>
        <w:t>momentum</w:t>
      </w:r>
      <w:proofErr w:type="spellEnd"/>
      <w:r>
        <w:t xml:space="preserve">, 10%. Il est intéressant de noter que </w:t>
      </w:r>
      <w:proofErr w:type="gramStart"/>
      <w:r>
        <w:t>les titres values</w:t>
      </w:r>
      <w:proofErr w:type="gramEnd"/>
      <w:r>
        <w:t xml:space="preserve"> ont une volatilité supérieure aux valeurs de croissances. Cela pourrait s’expliquer par l’attrait accru des investisseurs pour le premier style, après le traumatisme des valorisations excessives lors de la crise. La stratégie de minimum volatilité joue son rôle de refuge relatif, avec 7% de volatilité.</w:t>
      </w:r>
    </w:p>
    <w:p w14:paraId="35110A62" w14:textId="77777777" w:rsidR="00DB48E0" w:rsidRDefault="00000000">
      <w:r>
        <w:t>Quant aux baisses maximales, elles ont nettement baissé au sortir de la bulle internet.</w:t>
      </w:r>
    </w:p>
    <w:p w14:paraId="69C81A6E" w14:textId="77777777" w:rsidR="00DB48E0" w:rsidRDefault="00000000">
      <w:pPr>
        <w:pStyle w:val="Titre3"/>
      </w:pPr>
      <w:bookmarkStart w:id="36" w:name="_Toc194078573"/>
      <w:r>
        <w:t xml:space="preserve">Crise des </w:t>
      </w:r>
      <w:proofErr w:type="spellStart"/>
      <w:r>
        <w:t>subprimes</w:t>
      </w:r>
      <w:proofErr w:type="spellEnd"/>
      <w:r>
        <w:t xml:space="preserve"> (décembre 2007 – décembre 2009)</w:t>
      </w:r>
      <w:bookmarkEnd w:id="36"/>
    </w:p>
    <w:p w14:paraId="3CAADD15" w14:textId="77777777" w:rsidR="00DB48E0" w:rsidRDefault="00000000">
      <w:r>
        <w:t xml:space="preserve">La crise des </w:t>
      </w:r>
      <w:proofErr w:type="spellStart"/>
      <w:r>
        <w:t>subprimes</w:t>
      </w:r>
      <w:proofErr w:type="spellEnd"/>
      <w:r>
        <w:t xml:space="preserve"> (décembre 2007 - décembre 2009) a été l’une des pires crises financières de l’histoire moderne. Elle a été déclenchée par l’effondrement du marché immobilier américain, alimenté par des prêts hypothécaires risqués et une titrisation excessive des actifs. La faillite de Lehman Brothers en septembre 2008 a marqué un point critique, provoquant une panique sur les marchés financiers et une </w:t>
      </w:r>
      <w:r>
        <w:lastRenderedPageBreak/>
        <w:t xml:space="preserve">récession mondiale. En Europe, les banques ont été durement touchées par l’exposition aux actifs toxiques, entraînant une chute brutale des indices boursiers. L’Euro </w:t>
      </w:r>
      <w:proofErr w:type="spellStart"/>
      <w:r>
        <w:t>Stoxx</w:t>
      </w:r>
      <w:proofErr w:type="spellEnd"/>
      <w:r>
        <w:t xml:space="preserve"> 50 a perdu près de 60 % entre 2007 et mars 2009, et la liquidité s’est tarie, aggravant la volatilité des marchés.</w:t>
      </w:r>
    </w:p>
    <w:p w14:paraId="01F0306C" w14:textId="0CF879AD" w:rsidR="00DB48E0" w:rsidRDefault="00A27748" w:rsidP="00A27748">
      <w:pPr>
        <w:pStyle w:val="Lgende"/>
        <w:rPr>
          <w:b w:val="0"/>
          <w:color w:val="000000"/>
        </w:rPr>
      </w:pPr>
      <w:bookmarkStart w:id="37" w:name="_heading=h.5mzolc3cz6or" w:colFirst="0" w:colLast="0"/>
      <w:bookmarkStart w:id="38" w:name="_Toc194078598"/>
      <w:bookmarkEnd w:id="37"/>
      <w:r>
        <w:t xml:space="preserve">Tableau </w:t>
      </w:r>
      <w:fldSimple w:instr=" SEQ Tableau \* ARABIC ">
        <w:r w:rsidR="004D7D3B">
          <w:rPr>
            <w:noProof/>
          </w:rPr>
          <w:t>8</w:t>
        </w:r>
      </w:fldSimple>
      <w:r>
        <w:rPr>
          <w:color w:val="000000"/>
        </w:rPr>
        <w:t xml:space="preserve">. Indicateurs de performances et de risque des styles pendant la crise des </w:t>
      </w:r>
      <w:proofErr w:type="spellStart"/>
      <w:r>
        <w:rPr>
          <w:color w:val="000000"/>
        </w:rPr>
        <w:t>subprimes</w:t>
      </w:r>
      <w:bookmarkEnd w:id="38"/>
      <w:proofErr w:type="spellEnd"/>
    </w:p>
    <w:tbl>
      <w:tblPr>
        <w:tblStyle w:val="a6"/>
        <w:tblW w:w="680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701"/>
        <w:gridCol w:w="1701"/>
        <w:gridCol w:w="1701"/>
        <w:gridCol w:w="1701"/>
      </w:tblGrid>
      <w:tr w:rsidR="00DB48E0" w14:paraId="3C14AD75" w14:textId="77777777">
        <w:trPr>
          <w:jc w:val="center"/>
        </w:trPr>
        <w:tc>
          <w:tcPr>
            <w:tcW w:w="1701" w:type="dxa"/>
            <w:tcBorders>
              <w:top w:val="single" w:sz="4" w:space="0" w:color="000000"/>
              <w:bottom w:val="single" w:sz="4" w:space="0" w:color="000000"/>
            </w:tcBorders>
            <w:vAlign w:val="center"/>
          </w:tcPr>
          <w:p w14:paraId="767E3EC7" w14:textId="77777777" w:rsidR="00DB48E0" w:rsidRDefault="00000000">
            <w:pPr>
              <w:jc w:val="left"/>
            </w:pPr>
            <w:r>
              <w:t>Styles d’investissement</w:t>
            </w:r>
          </w:p>
        </w:tc>
        <w:tc>
          <w:tcPr>
            <w:tcW w:w="1701" w:type="dxa"/>
            <w:tcBorders>
              <w:top w:val="single" w:sz="4" w:space="0" w:color="000000"/>
              <w:bottom w:val="single" w:sz="4" w:space="0" w:color="000000"/>
            </w:tcBorders>
            <w:vAlign w:val="center"/>
          </w:tcPr>
          <w:p w14:paraId="643B4431" w14:textId="77777777" w:rsidR="00DB48E0" w:rsidRDefault="00000000">
            <w:pPr>
              <w:jc w:val="center"/>
            </w:pPr>
            <w:r>
              <w:t>Rentabilité annuelle</w:t>
            </w:r>
          </w:p>
        </w:tc>
        <w:tc>
          <w:tcPr>
            <w:tcW w:w="1701" w:type="dxa"/>
            <w:tcBorders>
              <w:top w:val="single" w:sz="4" w:space="0" w:color="000000"/>
              <w:bottom w:val="single" w:sz="4" w:space="0" w:color="000000"/>
            </w:tcBorders>
            <w:vAlign w:val="center"/>
          </w:tcPr>
          <w:p w14:paraId="50B3EBEF" w14:textId="77777777" w:rsidR="00DB48E0" w:rsidRDefault="00000000">
            <w:pPr>
              <w:jc w:val="center"/>
            </w:pPr>
            <w:r>
              <w:t>Volatilité annuelle</w:t>
            </w:r>
          </w:p>
        </w:tc>
        <w:tc>
          <w:tcPr>
            <w:tcW w:w="1701" w:type="dxa"/>
            <w:tcBorders>
              <w:top w:val="single" w:sz="4" w:space="0" w:color="000000"/>
              <w:bottom w:val="single" w:sz="4" w:space="0" w:color="000000"/>
            </w:tcBorders>
            <w:vAlign w:val="center"/>
          </w:tcPr>
          <w:p w14:paraId="216F0B64" w14:textId="77777777" w:rsidR="00DB48E0" w:rsidRDefault="00000000">
            <w:pPr>
              <w:jc w:val="center"/>
            </w:pPr>
            <w:r>
              <w:t xml:space="preserve">Max </w:t>
            </w:r>
            <w:proofErr w:type="spellStart"/>
            <w:r>
              <w:t>drawdown</w:t>
            </w:r>
            <w:proofErr w:type="spellEnd"/>
          </w:p>
        </w:tc>
      </w:tr>
      <w:tr w:rsidR="00DB48E0" w14:paraId="35DC4492" w14:textId="77777777">
        <w:trPr>
          <w:trHeight w:val="170"/>
          <w:jc w:val="center"/>
        </w:trPr>
        <w:tc>
          <w:tcPr>
            <w:tcW w:w="1701" w:type="dxa"/>
            <w:tcBorders>
              <w:top w:val="single" w:sz="4" w:space="0" w:color="000000"/>
            </w:tcBorders>
            <w:vAlign w:val="center"/>
          </w:tcPr>
          <w:p w14:paraId="004F28D7" w14:textId="77777777" w:rsidR="00DB48E0" w:rsidRDefault="00000000">
            <w:proofErr w:type="spellStart"/>
            <w:r>
              <w:rPr>
                <w:color w:val="000000"/>
              </w:rPr>
              <w:t>Quality</w:t>
            </w:r>
            <w:proofErr w:type="spellEnd"/>
          </w:p>
        </w:tc>
        <w:tc>
          <w:tcPr>
            <w:tcW w:w="1701" w:type="dxa"/>
            <w:tcBorders>
              <w:top w:val="single" w:sz="4" w:space="0" w:color="000000"/>
            </w:tcBorders>
            <w:vAlign w:val="center"/>
          </w:tcPr>
          <w:p w14:paraId="77DE7095" w14:textId="77777777" w:rsidR="00DB48E0" w:rsidRDefault="00000000">
            <w:pPr>
              <w:jc w:val="center"/>
              <w:rPr>
                <w:color w:val="000000"/>
              </w:rPr>
            </w:pPr>
            <w:r>
              <w:rPr>
                <w:color w:val="000000"/>
              </w:rPr>
              <w:t>-11%</w:t>
            </w:r>
          </w:p>
        </w:tc>
        <w:tc>
          <w:tcPr>
            <w:tcW w:w="1701" w:type="dxa"/>
            <w:tcBorders>
              <w:top w:val="single" w:sz="4" w:space="0" w:color="000000"/>
            </w:tcBorders>
            <w:vAlign w:val="center"/>
          </w:tcPr>
          <w:p w14:paraId="2B91F1FA" w14:textId="77777777" w:rsidR="00DB48E0" w:rsidRDefault="00000000">
            <w:pPr>
              <w:jc w:val="center"/>
              <w:rPr>
                <w:color w:val="000000"/>
              </w:rPr>
            </w:pPr>
            <w:r>
              <w:rPr>
                <w:color w:val="000000"/>
              </w:rPr>
              <w:t>20%</w:t>
            </w:r>
          </w:p>
        </w:tc>
        <w:tc>
          <w:tcPr>
            <w:tcW w:w="1701" w:type="dxa"/>
            <w:tcBorders>
              <w:top w:val="single" w:sz="4" w:space="0" w:color="000000"/>
            </w:tcBorders>
            <w:vAlign w:val="center"/>
          </w:tcPr>
          <w:p w14:paraId="18FCD0A0" w14:textId="77777777" w:rsidR="00DB48E0" w:rsidRDefault="00000000">
            <w:pPr>
              <w:jc w:val="center"/>
              <w:rPr>
                <w:color w:val="000000"/>
              </w:rPr>
            </w:pPr>
            <w:r>
              <w:rPr>
                <w:color w:val="000000"/>
              </w:rPr>
              <w:t>-38%</w:t>
            </w:r>
          </w:p>
        </w:tc>
      </w:tr>
      <w:tr w:rsidR="00DB48E0" w14:paraId="3D5062E0" w14:textId="77777777">
        <w:trPr>
          <w:trHeight w:val="170"/>
          <w:jc w:val="center"/>
        </w:trPr>
        <w:tc>
          <w:tcPr>
            <w:tcW w:w="1701" w:type="dxa"/>
            <w:vAlign w:val="center"/>
          </w:tcPr>
          <w:p w14:paraId="5E3F6297" w14:textId="77777777" w:rsidR="00DB48E0" w:rsidRDefault="00000000">
            <w:pPr>
              <w:spacing w:before="0"/>
            </w:pPr>
            <w:r>
              <w:rPr>
                <w:color w:val="000000"/>
              </w:rPr>
              <w:t>Low vol</w:t>
            </w:r>
          </w:p>
        </w:tc>
        <w:tc>
          <w:tcPr>
            <w:tcW w:w="1701" w:type="dxa"/>
            <w:vAlign w:val="center"/>
          </w:tcPr>
          <w:p w14:paraId="40B6149F" w14:textId="77777777" w:rsidR="00DB48E0" w:rsidRDefault="00000000">
            <w:pPr>
              <w:spacing w:before="0"/>
              <w:jc w:val="center"/>
              <w:rPr>
                <w:color w:val="000000"/>
              </w:rPr>
            </w:pPr>
            <w:r>
              <w:rPr>
                <w:color w:val="000000"/>
              </w:rPr>
              <w:t>-14%</w:t>
            </w:r>
          </w:p>
        </w:tc>
        <w:tc>
          <w:tcPr>
            <w:tcW w:w="1701" w:type="dxa"/>
            <w:vAlign w:val="center"/>
          </w:tcPr>
          <w:p w14:paraId="2441E278" w14:textId="77777777" w:rsidR="00DB48E0" w:rsidRDefault="00000000">
            <w:pPr>
              <w:spacing w:before="0"/>
              <w:jc w:val="center"/>
              <w:rPr>
                <w:color w:val="000000"/>
              </w:rPr>
            </w:pPr>
            <w:r>
              <w:rPr>
                <w:color w:val="000000"/>
              </w:rPr>
              <w:t>18%</w:t>
            </w:r>
          </w:p>
        </w:tc>
        <w:tc>
          <w:tcPr>
            <w:tcW w:w="1701" w:type="dxa"/>
            <w:vAlign w:val="center"/>
          </w:tcPr>
          <w:p w14:paraId="0E99CCBF" w14:textId="77777777" w:rsidR="00DB48E0" w:rsidRDefault="00000000">
            <w:pPr>
              <w:spacing w:before="0"/>
              <w:jc w:val="center"/>
              <w:rPr>
                <w:color w:val="000000"/>
              </w:rPr>
            </w:pPr>
            <w:r>
              <w:rPr>
                <w:color w:val="000000"/>
              </w:rPr>
              <w:t>-38%</w:t>
            </w:r>
          </w:p>
        </w:tc>
      </w:tr>
      <w:tr w:rsidR="00DB48E0" w14:paraId="69891292" w14:textId="77777777">
        <w:trPr>
          <w:trHeight w:val="170"/>
          <w:jc w:val="center"/>
        </w:trPr>
        <w:tc>
          <w:tcPr>
            <w:tcW w:w="1701" w:type="dxa"/>
            <w:vAlign w:val="center"/>
          </w:tcPr>
          <w:p w14:paraId="4FEDFAA6" w14:textId="77777777" w:rsidR="00DB48E0" w:rsidRDefault="00000000">
            <w:pPr>
              <w:spacing w:before="0"/>
            </w:pPr>
            <w:proofErr w:type="spellStart"/>
            <w:r>
              <w:rPr>
                <w:color w:val="000000"/>
              </w:rPr>
              <w:t>Growth</w:t>
            </w:r>
            <w:proofErr w:type="spellEnd"/>
          </w:p>
        </w:tc>
        <w:tc>
          <w:tcPr>
            <w:tcW w:w="1701" w:type="dxa"/>
            <w:vAlign w:val="center"/>
          </w:tcPr>
          <w:p w14:paraId="77B592E2" w14:textId="77777777" w:rsidR="00DB48E0" w:rsidRDefault="00000000">
            <w:pPr>
              <w:spacing w:before="0"/>
              <w:jc w:val="center"/>
              <w:rPr>
                <w:color w:val="000000"/>
              </w:rPr>
            </w:pPr>
            <w:r>
              <w:rPr>
                <w:color w:val="000000"/>
              </w:rPr>
              <w:t>-15%</w:t>
            </w:r>
          </w:p>
        </w:tc>
        <w:tc>
          <w:tcPr>
            <w:tcW w:w="1701" w:type="dxa"/>
            <w:vAlign w:val="center"/>
          </w:tcPr>
          <w:p w14:paraId="0BD0ED7A" w14:textId="77777777" w:rsidR="00DB48E0" w:rsidRDefault="00000000">
            <w:pPr>
              <w:spacing w:before="0"/>
              <w:jc w:val="center"/>
              <w:rPr>
                <w:color w:val="000000"/>
              </w:rPr>
            </w:pPr>
            <w:r>
              <w:rPr>
                <w:color w:val="000000"/>
              </w:rPr>
              <w:t>21%</w:t>
            </w:r>
          </w:p>
        </w:tc>
        <w:tc>
          <w:tcPr>
            <w:tcW w:w="1701" w:type="dxa"/>
            <w:vAlign w:val="center"/>
          </w:tcPr>
          <w:p w14:paraId="69332115" w14:textId="77777777" w:rsidR="00DB48E0" w:rsidRDefault="00000000">
            <w:pPr>
              <w:spacing w:before="0"/>
              <w:jc w:val="center"/>
              <w:rPr>
                <w:color w:val="000000"/>
              </w:rPr>
            </w:pPr>
            <w:r>
              <w:rPr>
                <w:color w:val="000000"/>
              </w:rPr>
              <w:t>-42%</w:t>
            </w:r>
          </w:p>
        </w:tc>
      </w:tr>
      <w:tr w:rsidR="00DB48E0" w14:paraId="29FCE9A6" w14:textId="77777777">
        <w:trPr>
          <w:trHeight w:val="170"/>
          <w:jc w:val="center"/>
        </w:trPr>
        <w:tc>
          <w:tcPr>
            <w:tcW w:w="1701" w:type="dxa"/>
            <w:vAlign w:val="center"/>
          </w:tcPr>
          <w:p w14:paraId="4A9A531D" w14:textId="77777777" w:rsidR="00DB48E0" w:rsidRDefault="00000000">
            <w:pPr>
              <w:spacing w:before="0"/>
            </w:pPr>
            <w:r>
              <w:rPr>
                <w:color w:val="000000"/>
              </w:rPr>
              <w:t>Small</w:t>
            </w:r>
          </w:p>
        </w:tc>
        <w:tc>
          <w:tcPr>
            <w:tcW w:w="1701" w:type="dxa"/>
            <w:vAlign w:val="center"/>
          </w:tcPr>
          <w:p w14:paraId="1D7364D7" w14:textId="77777777" w:rsidR="00DB48E0" w:rsidRDefault="00000000">
            <w:pPr>
              <w:spacing w:before="0"/>
              <w:jc w:val="center"/>
              <w:rPr>
                <w:color w:val="000000"/>
              </w:rPr>
            </w:pPr>
            <w:r>
              <w:rPr>
                <w:color w:val="000000"/>
              </w:rPr>
              <w:t>-15%</w:t>
            </w:r>
          </w:p>
        </w:tc>
        <w:tc>
          <w:tcPr>
            <w:tcW w:w="1701" w:type="dxa"/>
            <w:vAlign w:val="center"/>
          </w:tcPr>
          <w:p w14:paraId="6EF055C2" w14:textId="77777777" w:rsidR="00DB48E0" w:rsidRDefault="00000000">
            <w:pPr>
              <w:spacing w:before="0"/>
              <w:jc w:val="center"/>
              <w:rPr>
                <w:color w:val="000000"/>
              </w:rPr>
            </w:pPr>
            <w:r>
              <w:rPr>
                <w:color w:val="000000"/>
              </w:rPr>
              <w:t>31%</w:t>
            </w:r>
          </w:p>
        </w:tc>
        <w:tc>
          <w:tcPr>
            <w:tcW w:w="1701" w:type="dxa"/>
            <w:vAlign w:val="center"/>
          </w:tcPr>
          <w:p w14:paraId="1516E286" w14:textId="77777777" w:rsidR="00DB48E0" w:rsidRDefault="00000000">
            <w:pPr>
              <w:spacing w:before="0"/>
              <w:jc w:val="center"/>
              <w:rPr>
                <w:color w:val="000000"/>
              </w:rPr>
            </w:pPr>
            <w:r>
              <w:rPr>
                <w:color w:val="000000"/>
              </w:rPr>
              <w:t>-51%</w:t>
            </w:r>
          </w:p>
        </w:tc>
      </w:tr>
      <w:tr w:rsidR="00DB48E0" w14:paraId="19B0D6AF" w14:textId="77777777">
        <w:trPr>
          <w:trHeight w:val="170"/>
          <w:jc w:val="center"/>
        </w:trPr>
        <w:tc>
          <w:tcPr>
            <w:tcW w:w="1701" w:type="dxa"/>
            <w:vAlign w:val="center"/>
          </w:tcPr>
          <w:p w14:paraId="669C5D45" w14:textId="77777777" w:rsidR="00DB48E0" w:rsidRDefault="00000000">
            <w:pPr>
              <w:spacing w:before="0"/>
            </w:pPr>
            <w:r>
              <w:rPr>
                <w:color w:val="000000"/>
              </w:rPr>
              <w:t>Large</w:t>
            </w:r>
          </w:p>
        </w:tc>
        <w:tc>
          <w:tcPr>
            <w:tcW w:w="1701" w:type="dxa"/>
            <w:vAlign w:val="center"/>
          </w:tcPr>
          <w:p w14:paraId="17B30359" w14:textId="77777777" w:rsidR="00DB48E0" w:rsidRDefault="00000000">
            <w:pPr>
              <w:spacing w:before="0"/>
              <w:jc w:val="center"/>
              <w:rPr>
                <w:color w:val="000000"/>
              </w:rPr>
            </w:pPr>
            <w:r>
              <w:rPr>
                <w:color w:val="000000"/>
              </w:rPr>
              <w:t>-17%</w:t>
            </w:r>
          </w:p>
        </w:tc>
        <w:tc>
          <w:tcPr>
            <w:tcW w:w="1701" w:type="dxa"/>
            <w:vAlign w:val="center"/>
          </w:tcPr>
          <w:p w14:paraId="49943AA8" w14:textId="77777777" w:rsidR="00DB48E0" w:rsidRDefault="00000000">
            <w:pPr>
              <w:spacing w:before="0"/>
              <w:jc w:val="center"/>
              <w:rPr>
                <w:color w:val="000000"/>
              </w:rPr>
            </w:pPr>
            <w:r>
              <w:rPr>
                <w:color w:val="000000"/>
              </w:rPr>
              <w:t>24%</w:t>
            </w:r>
          </w:p>
        </w:tc>
        <w:tc>
          <w:tcPr>
            <w:tcW w:w="1701" w:type="dxa"/>
            <w:vAlign w:val="center"/>
          </w:tcPr>
          <w:p w14:paraId="569B2A41" w14:textId="77777777" w:rsidR="00DB48E0" w:rsidRDefault="00000000">
            <w:pPr>
              <w:spacing w:before="0"/>
              <w:jc w:val="center"/>
              <w:rPr>
                <w:color w:val="000000"/>
              </w:rPr>
            </w:pPr>
            <w:r>
              <w:rPr>
                <w:color w:val="000000"/>
              </w:rPr>
              <w:t>-46%</w:t>
            </w:r>
          </w:p>
        </w:tc>
      </w:tr>
      <w:tr w:rsidR="00DB48E0" w14:paraId="4FD6C9DB" w14:textId="77777777">
        <w:trPr>
          <w:trHeight w:val="170"/>
          <w:jc w:val="center"/>
        </w:trPr>
        <w:tc>
          <w:tcPr>
            <w:tcW w:w="1701" w:type="dxa"/>
            <w:vAlign w:val="center"/>
          </w:tcPr>
          <w:p w14:paraId="3028AD99" w14:textId="77777777" w:rsidR="00DB48E0" w:rsidRDefault="00000000">
            <w:pPr>
              <w:spacing w:before="0"/>
            </w:pPr>
            <w:proofErr w:type="spellStart"/>
            <w:r>
              <w:rPr>
                <w:color w:val="000000"/>
              </w:rPr>
              <w:t>Market</w:t>
            </w:r>
            <w:proofErr w:type="spellEnd"/>
          </w:p>
        </w:tc>
        <w:tc>
          <w:tcPr>
            <w:tcW w:w="1701" w:type="dxa"/>
            <w:vAlign w:val="center"/>
          </w:tcPr>
          <w:p w14:paraId="23989F00" w14:textId="77777777" w:rsidR="00DB48E0" w:rsidRDefault="00000000">
            <w:pPr>
              <w:spacing w:before="0"/>
              <w:jc w:val="center"/>
              <w:rPr>
                <w:color w:val="000000"/>
              </w:rPr>
            </w:pPr>
            <w:r>
              <w:rPr>
                <w:color w:val="000000"/>
              </w:rPr>
              <w:t>-17%</w:t>
            </w:r>
          </w:p>
        </w:tc>
        <w:tc>
          <w:tcPr>
            <w:tcW w:w="1701" w:type="dxa"/>
            <w:vAlign w:val="center"/>
          </w:tcPr>
          <w:p w14:paraId="3118835D" w14:textId="77777777" w:rsidR="00DB48E0" w:rsidRDefault="00000000">
            <w:pPr>
              <w:spacing w:before="0"/>
              <w:jc w:val="center"/>
              <w:rPr>
                <w:color w:val="000000"/>
              </w:rPr>
            </w:pPr>
            <w:r>
              <w:rPr>
                <w:color w:val="000000"/>
              </w:rPr>
              <w:t>24%</w:t>
            </w:r>
          </w:p>
        </w:tc>
        <w:tc>
          <w:tcPr>
            <w:tcW w:w="1701" w:type="dxa"/>
            <w:vAlign w:val="center"/>
          </w:tcPr>
          <w:p w14:paraId="147461C0" w14:textId="77777777" w:rsidR="00DB48E0" w:rsidRDefault="00000000">
            <w:pPr>
              <w:spacing w:before="0"/>
              <w:jc w:val="center"/>
              <w:rPr>
                <w:color w:val="000000"/>
              </w:rPr>
            </w:pPr>
            <w:r>
              <w:rPr>
                <w:color w:val="000000"/>
              </w:rPr>
              <w:t>-46%</w:t>
            </w:r>
          </w:p>
        </w:tc>
      </w:tr>
      <w:tr w:rsidR="00DB48E0" w14:paraId="11530407" w14:textId="77777777">
        <w:trPr>
          <w:trHeight w:val="170"/>
          <w:jc w:val="center"/>
        </w:trPr>
        <w:tc>
          <w:tcPr>
            <w:tcW w:w="1701" w:type="dxa"/>
            <w:vAlign w:val="center"/>
          </w:tcPr>
          <w:p w14:paraId="7E0ABEDB" w14:textId="77777777" w:rsidR="00DB48E0" w:rsidRDefault="00000000">
            <w:pPr>
              <w:spacing w:before="0"/>
            </w:pPr>
            <w:r>
              <w:rPr>
                <w:color w:val="000000"/>
              </w:rPr>
              <w:t>Value</w:t>
            </w:r>
          </w:p>
        </w:tc>
        <w:tc>
          <w:tcPr>
            <w:tcW w:w="1701" w:type="dxa"/>
            <w:vAlign w:val="center"/>
          </w:tcPr>
          <w:p w14:paraId="7D48D1C3" w14:textId="77777777" w:rsidR="00DB48E0" w:rsidRDefault="00000000">
            <w:pPr>
              <w:spacing w:before="0"/>
              <w:jc w:val="center"/>
            </w:pPr>
            <w:r>
              <w:rPr>
                <w:color w:val="000000"/>
              </w:rPr>
              <w:t>-19%</w:t>
            </w:r>
          </w:p>
        </w:tc>
        <w:tc>
          <w:tcPr>
            <w:tcW w:w="1701" w:type="dxa"/>
            <w:vAlign w:val="center"/>
          </w:tcPr>
          <w:p w14:paraId="6DA42FEE" w14:textId="77777777" w:rsidR="00DB48E0" w:rsidRDefault="00000000">
            <w:pPr>
              <w:spacing w:before="0"/>
              <w:jc w:val="center"/>
            </w:pPr>
            <w:r>
              <w:rPr>
                <w:color w:val="000000"/>
              </w:rPr>
              <w:t>28%</w:t>
            </w:r>
          </w:p>
        </w:tc>
        <w:tc>
          <w:tcPr>
            <w:tcW w:w="1701" w:type="dxa"/>
            <w:vAlign w:val="center"/>
          </w:tcPr>
          <w:p w14:paraId="4ECFB4AC" w14:textId="77777777" w:rsidR="00DB48E0" w:rsidRDefault="00000000">
            <w:pPr>
              <w:spacing w:before="0"/>
              <w:jc w:val="center"/>
            </w:pPr>
            <w:r>
              <w:rPr>
                <w:color w:val="000000"/>
              </w:rPr>
              <w:t>-52%</w:t>
            </w:r>
          </w:p>
        </w:tc>
      </w:tr>
      <w:tr w:rsidR="00DB48E0" w14:paraId="4034DE4B" w14:textId="77777777">
        <w:trPr>
          <w:trHeight w:val="170"/>
          <w:jc w:val="center"/>
        </w:trPr>
        <w:tc>
          <w:tcPr>
            <w:tcW w:w="1701" w:type="dxa"/>
            <w:tcBorders>
              <w:bottom w:val="single" w:sz="4" w:space="0" w:color="000000"/>
            </w:tcBorders>
            <w:vAlign w:val="center"/>
          </w:tcPr>
          <w:p w14:paraId="38CE3658" w14:textId="77777777" w:rsidR="00DB48E0" w:rsidRDefault="00000000">
            <w:pPr>
              <w:spacing w:before="0"/>
            </w:pPr>
            <w:r>
              <w:rPr>
                <w:color w:val="000000"/>
              </w:rPr>
              <w:t>Momentum</w:t>
            </w:r>
          </w:p>
        </w:tc>
        <w:tc>
          <w:tcPr>
            <w:tcW w:w="1701" w:type="dxa"/>
            <w:tcBorders>
              <w:bottom w:val="single" w:sz="4" w:space="0" w:color="000000"/>
            </w:tcBorders>
            <w:vAlign w:val="center"/>
          </w:tcPr>
          <w:p w14:paraId="5A07917A" w14:textId="77777777" w:rsidR="00DB48E0" w:rsidRDefault="00000000">
            <w:pPr>
              <w:spacing w:before="0"/>
              <w:jc w:val="center"/>
              <w:rPr>
                <w:color w:val="000000"/>
              </w:rPr>
            </w:pPr>
            <w:r>
              <w:rPr>
                <w:color w:val="000000"/>
              </w:rPr>
              <w:t>-21%</w:t>
            </w:r>
          </w:p>
        </w:tc>
        <w:tc>
          <w:tcPr>
            <w:tcW w:w="1701" w:type="dxa"/>
            <w:tcBorders>
              <w:bottom w:val="single" w:sz="4" w:space="0" w:color="000000"/>
            </w:tcBorders>
            <w:vAlign w:val="center"/>
          </w:tcPr>
          <w:p w14:paraId="6F64E868" w14:textId="77777777" w:rsidR="00DB48E0" w:rsidRDefault="00000000">
            <w:pPr>
              <w:spacing w:before="0"/>
              <w:jc w:val="center"/>
              <w:rPr>
                <w:color w:val="000000"/>
              </w:rPr>
            </w:pPr>
            <w:r>
              <w:rPr>
                <w:color w:val="000000"/>
              </w:rPr>
              <w:t>21%</w:t>
            </w:r>
          </w:p>
        </w:tc>
        <w:tc>
          <w:tcPr>
            <w:tcW w:w="1701" w:type="dxa"/>
            <w:tcBorders>
              <w:bottom w:val="single" w:sz="4" w:space="0" w:color="000000"/>
            </w:tcBorders>
            <w:vAlign w:val="center"/>
          </w:tcPr>
          <w:p w14:paraId="0D34DDFD" w14:textId="77777777" w:rsidR="00DB48E0" w:rsidRDefault="00000000">
            <w:pPr>
              <w:spacing w:before="0"/>
              <w:jc w:val="center"/>
              <w:rPr>
                <w:color w:val="000000"/>
              </w:rPr>
            </w:pPr>
            <w:r>
              <w:rPr>
                <w:color w:val="000000"/>
              </w:rPr>
              <w:t>-46%</w:t>
            </w:r>
          </w:p>
        </w:tc>
      </w:tr>
    </w:tbl>
    <w:p w14:paraId="4740C39B" w14:textId="77777777" w:rsidR="00DB48E0" w:rsidRDefault="00000000">
      <w:pPr>
        <w:spacing w:after="240"/>
      </w:pPr>
      <w:r>
        <w:t>Source : auteurs, mars 2025. </w:t>
      </w:r>
      <w:r>
        <w:rPr>
          <w:b/>
        </w:rPr>
        <w:t> </w:t>
      </w:r>
    </w:p>
    <w:p w14:paraId="1A9CDB6A" w14:textId="77777777" w:rsidR="00DB48E0" w:rsidRDefault="00000000">
      <w:r>
        <w:t xml:space="preserve">Toutes les stratégies d’investissement ont enregistré des pertes massives, ce qui reflète la nature systémique de la crise. La stratégie </w:t>
      </w:r>
      <w:proofErr w:type="spellStart"/>
      <w:r>
        <w:t>momentum</w:t>
      </w:r>
      <w:proofErr w:type="spellEnd"/>
      <w:r>
        <w:t xml:space="preserve"> et les Small Caps ont été les plus touchées, car ce segment de capitalisation est plus sensible aux cycles économiques et à la défiance des investisseurs. Les valeurs de qualité (-11 %) ont affiché des pertes moindres, ce qui peut s’expliquer par la préférence des investisseurs pour des entreprises solides et moins endettées dans un contexte de crise. La Low </w:t>
      </w:r>
      <w:proofErr w:type="spellStart"/>
      <w:r>
        <w:t>Volatility</w:t>
      </w:r>
      <w:proofErr w:type="spellEnd"/>
      <w:r>
        <w:t xml:space="preserve"> (-14 %) a limité ses pertes par rapport aux autres styles, confirmant son rôle défensif.</w:t>
      </w:r>
    </w:p>
    <w:p w14:paraId="0E9A3DA3" w14:textId="77777777" w:rsidR="00DB48E0" w:rsidRDefault="00000000">
      <w:r>
        <w:t xml:space="preserve">Les rentabilité négatives ont été plus prononcées pendant la crise des </w:t>
      </w:r>
      <w:proofErr w:type="spellStart"/>
      <w:r>
        <w:t>subprimes</w:t>
      </w:r>
      <w:proofErr w:type="spellEnd"/>
      <w:r>
        <w:t xml:space="preserve"> comparées à celles observées lors de la crise de la bulle internet.</w:t>
      </w:r>
    </w:p>
    <w:p w14:paraId="4E3B5EAC" w14:textId="77777777" w:rsidR="00DB48E0" w:rsidRDefault="00000000">
      <w:r>
        <w:t xml:space="preserve">La volatilité a été très élevée sur toutes les stratégies, notamment pour les Small Caps (31 %) et les Value (38 %). À l’inverse, la Low </w:t>
      </w:r>
      <w:proofErr w:type="spellStart"/>
      <w:r>
        <w:t>Volatility</w:t>
      </w:r>
      <w:proofErr w:type="spellEnd"/>
      <w:r>
        <w:t xml:space="preserve"> (18 %) et la </w:t>
      </w:r>
      <w:proofErr w:type="spellStart"/>
      <w:r>
        <w:t>Quality</w:t>
      </w:r>
      <w:proofErr w:type="spellEnd"/>
      <w:r>
        <w:t xml:space="preserve"> (20 %) ont enregistré une volatilité plus faible, ce qui confirme leur attractivité en période de turbulence. Le maximum </w:t>
      </w:r>
      <w:proofErr w:type="spellStart"/>
      <w:r>
        <w:t>drawdown</w:t>
      </w:r>
      <w:proofErr w:type="spellEnd"/>
      <w:r>
        <w:t xml:space="preserve">, qui représente la pire perte en cours de période, est catastrophique pour la stratégie Value (-52 %) et les Small Caps (-51 %), ce qui traduit leur vulnérabilité à la crise. La Low </w:t>
      </w:r>
      <w:proofErr w:type="spellStart"/>
      <w:r>
        <w:t>Volatility</w:t>
      </w:r>
      <w:proofErr w:type="spellEnd"/>
      <w:r>
        <w:t xml:space="preserve"> (-38 %) et la Qualité (-38 %) ont mieux résisté, montrant que les investisseurs ont recherché des actifs plus défensifs au plus fort de la tempête.</w:t>
      </w:r>
    </w:p>
    <w:p w14:paraId="56ABB8C3" w14:textId="77777777" w:rsidR="00DB48E0" w:rsidRDefault="00000000">
      <w:r>
        <w:t xml:space="preserve">Par rapport au niveau de volatilité pendant la crise de la bulle internet, les niveaux observés lors sur la période de la crise des </w:t>
      </w:r>
      <w:proofErr w:type="spellStart"/>
      <w:r>
        <w:t>subprimes</w:t>
      </w:r>
      <w:proofErr w:type="spellEnd"/>
      <w:r>
        <w:t xml:space="preserve"> sont nettement plus élevés. Cela souligne la gravité sans précédent de cet évènement.</w:t>
      </w:r>
    </w:p>
    <w:p w14:paraId="14DBE73C" w14:textId="77777777" w:rsidR="00DB48E0" w:rsidRDefault="00000000">
      <w:pPr>
        <w:pStyle w:val="Titre3"/>
      </w:pPr>
      <w:bookmarkStart w:id="39" w:name="_Toc194078574"/>
      <w:r>
        <w:t>Crise de la zone euro (décembre 2009 – décembre 2012)</w:t>
      </w:r>
      <w:bookmarkEnd w:id="39"/>
    </w:p>
    <w:p w14:paraId="5342ACD5" w14:textId="77777777" w:rsidR="00DB48E0" w:rsidRDefault="00000000">
      <w:r>
        <w:t xml:space="preserve">De décembre 2009 à décembre 2012, la zone euro a traversé la crise des dettes souveraines. Après la récession des </w:t>
      </w:r>
      <w:proofErr w:type="spellStart"/>
      <w:r>
        <w:t>subprimes</w:t>
      </w:r>
      <w:proofErr w:type="spellEnd"/>
      <w:r>
        <w:t xml:space="preserve">, les gouvernements ont lancé de vastes plans de relance, creusant leur dette. La confiance a chuté pour certains pays, notamment la Grèce, faisant grimper leurs coûts d’emprunt. L’Euro </w:t>
      </w:r>
      <w:proofErr w:type="spellStart"/>
      <w:r>
        <w:lastRenderedPageBreak/>
        <w:t>Stoxx</w:t>
      </w:r>
      <w:proofErr w:type="spellEnd"/>
      <w:r>
        <w:t xml:space="preserve"> 50 a été très volatil, avec un rebond en 2009 (+23 %) suivi de chocs en 2010-2011. L’intervention de la BCE de Mario Draghi en 2012 avec son "</w:t>
      </w:r>
      <w:proofErr w:type="spellStart"/>
      <w:r>
        <w:t>whatever</w:t>
      </w:r>
      <w:proofErr w:type="spellEnd"/>
      <w:r>
        <w:t xml:space="preserve"> </w:t>
      </w:r>
      <w:proofErr w:type="spellStart"/>
      <w:r>
        <w:t>it</w:t>
      </w:r>
      <w:proofErr w:type="spellEnd"/>
      <w:r>
        <w:t xml:space="preserve"> </w:t>
      </w:r>
      <w:proofErr w:type="spellStart"/>
      <w:r>
        <w:t>takes</w:t>
      </w:r>
      <w:proofErr w:type="spellEnd"/>
      <w:r>
        <w:t>", a stabilisé la situation.</w:t>
      </w:r>
    </w:p>
    <w:p w14:paraId="3FED3E85" w14:textId="19A319B7" w:rsidR="00DB48E0" w:rsidRDefault="00A27748" w:rsidP="00A27748">
      <w:pPr>
        <w:pStyle w:val="Lgende"/>
        <w:rPr>
          <w:b w:val="0"/>
          <w:color w:val="000000"/>
        </w:rPr>
      </w:pPr>
      <w:bookmarkStart w:id="40" w:name="_heading=h.p8f5flo36863" w:colFirst="0" w:colLast="0"/>
      <w:bookmarkStart w:id="41" w:name="_Toc194078599"/>
      <w:bookmarkEnd w:id="40"/>
      <w:r>
        <w:t xml:space="preserve">Tableau </w:t>
      </w:r>
      <w:fldSimple w:instr=" SEQ Tableau \* ARABIC ">
        <w:r w:rsidR="004D7D3B">
          <w:rPr>
            <w:noProof/>
          </w:rPr>
          <w:t>9</w:t>
        </w:r>
      </w:fldSimple>
      <w:r>
        <w:rPr>
          <w:color w:val="000000"/>
        </w:rPr>
        <w:t>. Indicateurs de performances et de risque des styles pendant la crise de la zone euro</w:t>
      </w:r>
      <w:bookmarkEnd w:id="41"/>
    </w:p>
    <w:tbl>
      <w:tblPr>
        <w:tblStyle w:val="a7"/>
        <w:tblW w:w="680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701"/>
        <w:gridCol w:w="1701"/>
        <w:gridCol w:w="1701"/>
        <w:gridCol w:w="1701"/>
      </w:tblGrid>
      <w:tr w:rsidR="00DB48E0" w14:paraId="25950D38" w14:textId="77777777">
        <w:trPr>
          <w:jc w:val="center"/>
        </w:trPr>
        <w:tc>
          <w:tcPr>
            <w:tcW w:w="1701" w:type="dxa"/>
            <w:tcBorders>
              <w:top w:val="single" w:sz="4" w:space="0" w:color="000000"/>
              <w:bottom w:val="single" w:sz="4" w:space="0" w:color="000000"/>
            </w:tcBorders>
            <w:vAlign w:val="center"/>
          </w:tcPr>
          <w:p w14:paraId="0B8457AD" w14:textId="77777777" w:rsidR="00DB48E0" w:rsidRDefault="00000000">
            <w:pPr>
              <w:jc w:val="left"/>
            </w:pPr>
            <w:r>
              <w:t>Styles d’investissement</w:t>
            </w:r>
          </w:p>
        </w:tc>
        <w:tc>
          <w:tcPr>
            <w:tcW w:w="1701" w:type="dxa"/>
            <w:tcBorders>
              <w:top w:val="single" w:sz="4" w:space="0" w:color="000000"/>
              <w:bottom w:val="single" w:sz="4" w:space="0" w:color="000000"/>
            </w:tcBorders>
            <w:vAlign w:val="center"/>
          </w:tcPr>
          <w:p w14:paraId="6F2435C7" w14:textId="77777777" w:rsidR="00DB48E0" w:rsidRDefault="00000000">
            <w:pPr>
              <w:jc w:val="center"/>
            </w:pPr>
            <w:r>
              <w:t>Rentabilité annuelle</w:t>
            </w:r>
          </w:p>
        </w:tc>
        <w:tc>
          <w:tcPr>
            <w:tcW w:w="1701" w:type="dxa"/>
            <w:tcBorders>
              <w:top w:val="single" w:sz="4" w:space="0" w:color="000000"/>
              <w:bottom w:val="single" w:sz="4" w:space="0" w:color="000000"/>
            </w:tcBorders>
            <w:vAlign w:val="center"/>
          </w:tcPr>
          <w:p w14:paraId="5B2FFA65" w14:textId="77777777" w:rsidR="00DB48E0" w:rsidRDefault="00000000">
            <w:pPr>
              <w:jc w:val="center"/>
            </w:pPr>
            <w:r>
              <w:t>Volatilité annuelle</w:t>
            </w:r>
          </w:p>
        </w:tc>
        <w:tc>
          <w:tcPr>
            <w:tcW w:w="1701" w:type="dxa"/>
            <w:tcBorders>
              <w:top w:val="single" w:sz="4" w:space="0" w:color="000000"/>
              <w:bottom w:val="single" w:sz="4" w:space="0" w:color="000000"/>
            </w:tcBorders>
            <w:vAlign w:val="center"/>
          </w:tcPr>
          <w:p w14:paraId="5AA5CC22" w14:textId="77777777" w:rsidR="00DB48E0" w:rsidRDefault="00000000">
            <w:pPr>
              <w:jc w:val="center"/>
            </w:pPr>
            <w:r>
              <w:t xml:space="preserve">Max </w:t>
            </w:r>
            <w:proofErr w:type="spellStart"/>
            <w:r>
              <w:t>drawdown</w:t>
            </w:r>
            <w:proofErr w:type="spellEnd"/>
          </w:p>
        </w:tc>
      </w:tr>
      <w:tr w:rsidR="00DB48E0" w14:paraId="07E2AE97" w14:textId="77777777">
        <w:trPr>
          <w:trHeight w:val="170"/>
          <w:jc w:val="center"/>
        </w:trPr>
        <w:tc>
          <w:tcPr>
            <w:tcW w:w="1701" w:type="dxa"/>
            <w:tcBorders>
              <w:top w:val="single" w:sz="4" w:space="0" w:color="000000"/>
            </w:tcBorders>
            <w:vAlign w:val="center"/>
          </w:tcPr>
          <w:p w14:paraId="6228E127" w14:textId="77777777" w:rsidR="00DB48E0" w:rsidRDefault="00000000">
            <w:r>
              <w:rPr>
                <w:color w:val="000000"/>
              </w:rPr>
              <w:t>Momentum</w:t>
            </w:r>
          </w:p>
        </w:tc>
        <w:tc>
          <w:tcPr>
            <w:tcW w:w="1701" w:type="dxa"/>
            <w:tcBorders>
              <w:top w:val="single" w:sz="4" w:space="0" w:color="000000"/>
            </w:tcBorders>
            <w:vAlign w:val="center"/>
          </w:tcPr>
          <w:p w14:paraId="55527DC4" w14:textId="77777777" w:rsidR="00DB48E0" w:rsidRDefault="00000000">
            <w:pPr>
              <w:jc w:val="center"/>
              <w:rPr>
                <w:color w:val="000000"/>
              </w:rPr>
            </w:pPr>
            <w:r>
              <w:rPr>
                <w:color w:val="000000"/>
              </w:rPr>
              <w:t>11%</w:t>
            </w:r>
          </w:p>
        </w:tc>
        <w:tc>
          <w:tcPr>
            <w:tcW w:w="1701" w:type="dxa"/>
            <w:tcBorders>
              <w:top w:val="single" w:sz="4" w:space="0" w:color="000000"/>
            </w:tcBorders>
            <w:vAlign w:val="center"/>
          </w:tcPr>
          <w:p w14:paraId="58AFB7EC" w14:textId="77777777" w:rsidR="00DB48E0" w:rsidRDefault="00000000">
            <w:pPr>
              <w:jc w:val="center"/>
              <w:rPr>
                <w:color w:val="000000"/>
              </w:rPr>
            </w:pPr>
            <w:r>
              <w:rPr>
                <w:color w:val="000000"/>
              </w:rPr>
              <w:t>13%</w:t>
            </w:r>
          </w:p>
        </w:tc>
        <w:tc>
          <w:tcPr>
            <w:tcW w:w="1701" w:type="dxa"/>
            <w:tcBorders>
              <w:top w:val="single" w:sz="4" w:space="0" w:color="000000"/>
            </w:tcBorders>
            <w:vAlign w:val="center"/>
          </w:tcPr>
          <w:p w14:paraId="682FABE7" w14:textId="77777777" w:rsidR="00DB48E0" w:rsidRDefault="00000000">
            <w:pPr>
              <w:jc w:val="center"/>
              <w:rPr>
                <w:color w:val="000000"/>
              </w:rPr>
            </w:pPr>
            <w:r>
              <w:rPr>
                <w:color w:val="000000"/>
              </w:rPr>
              <w:t>-16%</w:t>
            </w:r>
          </w:p>
        </w:tc>
      </w:tr>
      <w:tr w:rsidR="00DB48E0" w14:paraId="39BB1AEE" w14:textId="77777777">
        <w:trPr>
          <w:trHeight w:val="170"/>
          <w:jc w:val="center"/>
        </w:trPr>
        <w:tc>
          <w:tcPr>
            <w:tcW w:w="1701" w:type="dxa"/>
            <w:vAlign w:val="center"/>
          </w:tcPr>
          <w:p w14:paraId="1E507906" w14:textId="77777777" w:rsidR="00DB48E0" w:rsidRDefault="00000000">
            <w:pPr>
              <w:spacing w:before="0"/>
            </w:pPr>
            <w:r>
              <w:rPr>
                <w:color w:val="000000"/>
              </w:rPr>
              <w:t>Small</w:t>
            </w:r>
          </w:p>
        </w:tc>
        <w:tc>
          <w:tcPr>
            <w:tcW w:w="1701" w:type="dxa"/>
            <w:vAlign w:val="center"/>
          </w:tcPr>
          <w:p w14:paraId="103FAE6E" w14:textId="77777777" w:rsidR="00DB48E0" w:rsidRDefault="00000000">
            <w:pPr>
              <w:spacing w:before="0"/>
              <w:jc w:val="center"/>
              <w:rPr>
                <w:color w:val="000000"/>
              </w:rPr>
            </w:pPr>
            <w:r>
              <w:rPr>
                <w:color w:val="000000"/>
              </w:rPr>
              <w:t>8%</w:t>
            </w:r>
          </w:p>
        </w:tc>
        <w:tc>
          <w:tcPr>
            <w:tcW w:w="1701" w:type="dxa"/>
            <w:vAlign w:val="center"/>
          </w:tcPr>
          <w:p w14:paraId="76135DDE" w14:textId="77777777" w:rsidR="00DB48E0" w:rsidRDefault="00000000">
            <w:pPr>
              <w:spacing w:before="0"/>
              <w:jc w:val="center"/>
              <w:rPr>
                <w:color w:val="000000"/>
              </w:rPr>
            </w:pPr>
            <w:r>
              <w:rPr>
                <w:color w:val="000000"/>
              </w:rPr>
              <w:t>16%</w:t>
            </w:r>
          </w:p>
        </w:tc>
        <w:tc>
          <w:tcPr>
            <w:tcW w:w="1701" w:type="dxa"/>
            <w:vAlign w:val="center"/>
          </w:tcPr>
          <w:p w14:paraId="6004F86B" w14:textId="77777777" w:rsidR="00DB48E0" w:rsidRDefault="00000000">
            <w:pPr>
              <w:spacing w:before="0"/>
              <w:jc w:val="center"/>
              <w:rPr>
                <w:color w:val="000000"/>
              </w:rPr>
            </w:pPr>
            <w:r>
              <w:rPr>
                <w:color w:val="000000"/>
              </w:rPr>
              <w:t>-24%</w:t>
            </w:r>
          </w:p>
        </w:tc>
      </w:tr>
      <w:tr w:rsidR="00DB48E0" w14:paraId="590C1944" w14:textId="77777777">
        <w:trPr>
          <w:trHeight w:val="170"/>
          <w:jc w:val="center"/>
        </w:trPr>
        <w:tc>
          <w:tcPr>
            <w:tcW w:w="1701" w:type="dxa"/>
            <w:vAlign w:val="center"/>
          </w:tcPr>
          <w:p w14:paraId="5A04F22D" w14:textId="77777777" w:rsidR="00DB48E0" w:rsidRDefault="00000000">
            <w:pPr>
              <w:spacing w:before="0"/>
            </w:pPr>
            <w:proofErr w:type="spellStart"/>
            <w:r>
              <w:rPr>
                <w:color w:val="000000"/>
              </w:rPr>
              <w:t>Growth</w:t>
            </w:r>
            <w:proofErr w:type="spellEnd"/>
          </w:p>
        </w:tc>
        <w:tc>
          <w:tcPr>
            <w:tcW w:w="1701" w:type="dxa"/>
            <w:vAlign w:val="center"/>
          </w:tcPr>
          <w:p w14:paraId="0ACBA0C3" w14:textId="77777777" w:rsidR="00DB48E0" w:rsidRDefault="00000000">
            <w:pPr>
              <w:spacing w:before="0"/>
              <w:jc w:val="center"/>
              <w:rPr>
                <w:color w:val="000000"/>
              </w:rPr>
            </w:pPr>
            <w:r>
              <w:rPr>
                <w:color w:val="000000"/>
              </w:rPr>
              <w:t>7%</w:t>
            </w:r>
          </w:p>
        </w:tc>
        <w:tc>
          <w:tcPr>
            <w:tcW w:w="1701" w:type="dxa"/>
            <w:vAlign w:val="center"/>
          </w:tcPr>
          <w:p w14:paraId="40E30858" w14:textId="77777777" w:rsidR="00DB48E0" w:rsidRDefault="00000000">
            <w:pPr>
              <w:spacing w:before="0"/>
              <w:jc w:val="center"/>
              <w:rPr>
                <w:color w:val="000000"/>
              </w:rPr>
            </w:pPr>
            <w:r>
              <w:rPr>
                <w:color w:val="000000"/>
              </w:rPr>
              <w:t>12%</w:t>
            </w:r>
          </w:p>
        </w:tc>
        <w:tc>
          <w:tcPr>
            <w:tcW w:w="1701" w:type="dxa"/>
            <w:vAlign w:val="center"/>
          </w:tcPr>
          <w:p w14:paraId="60C3F7F3" w14:textId="77777777" w:rsidR="00DB48E0" w:rsidRDefault="00000000">
            <w:pPr>
              <w:spacing w:before="0"/>
              <w:jc w:val="center"/>
              <w:rPr>
                <w:color w:val="000000"/>
              </w:rPr>
            </w:pPr>
            <w:r>
              <w:rPr>
                <w:color w:val="000000"/>
              </w:rPr>
              <w:t>-18%</w:t>
            </w:r>
          </w:p>
        </w:tc>
      </w:tr>
      <w:tr w:rsidR="00DB48E0" w14:paraId="549E6220" w14:textId="77777777">
        <w:trPr>
          <w:trHeight w:val="170"/>
          <w:jc w:val="center"/>
        </w:trPr>
        <w:tc>
          <w:tcPr>
            <w:tcW w:w="1701" w:type="dxa"/>
            <w:vAlign w:val="center"/>
          </w:tcPr>
          <w:p w14:paraId="40322670" w14:textId="77777777" w:rsidR="00DB48E0" w:rsidRDefault="00000000">
            <w:pPr>
              <w:spacing w:before="0"/>
            </w:pPr>
            <w:proofErr w:type="spellStart"/>
            <w:r>
              <w:rPr>
                <w:color w:val="000000"/>
              </w:rPr>
              <w:t>Quality</w:t>
            </w:r>
            <w:proofErr w:type="spellEnd"/>
          </w:p>
        </w:tc>
        <w:tc>
          <w:tcPr>
            <w:tcW w:w="1701" w:type="dxa"/>
            <w:vAlign w:val="center"/>
          </w:tcPr>
          <w:p w14:paraId="5EF95D45" w14:textId="77777777" w:rsidR="00DB48E0" w:rsidRDefault="00000000">
            <w:pPr>
              <w:spacing w:before="0"/>
              <w:jc w:val="center"/>
              <w:rPr>
                <w:color w:val="000000"/>
              </w:rPr>
            </w:pPr>
            <w:r>
              <w:rPr>
                <w:color w:val="000000"/>
              </w:rPr>
              <w:t>7%</w:t>
            </w:r>
          </w:p>
        </w:tc>
        <w:tc>
          <w:tcPr>
            <w:tcW w:w="1701" w:type="dxa"/>
            <w:vAlign w:val="center"/>
          </w:tcPr>
          <w:p w14:paraId="1F7BFDF4" w14:textId="77777777" w:rsidR="00DB48E0" w:rsidRDefault="00000000">
            <w:pPr>
              <w:spacing w:before="0"/>
              <w:jc w:val="center"/>
              <w:rPr>
                <w:color w:val="000000"/>
              </w:rPr>
            </w:pPr>
            <w:r>
              <w:rPr>
                <w:color w:val="000000"/>
              </w:rPr>
              <w:t>10%</w:t>
            </w:r>
          </w:p>
        </w:tc>
        <w:tc>
          <w:tcPr>
            <w:tcW w:w="1701" w:type="dxa"/>
            <w:vAlign w:val="center"/>
          </w:tcPr>
          <w:p w14:paraId="72CA43F7" w14:textId="77777777" w:rsidR="00DB48E0" w:rsidRDefault="00000000">
            <w:pPr>
              <w:spacing w:before="0"/>
              <w:jc w:val="center"/>
              <w:rPr>
                <w:color w:val="000000"/>
              </w:rPr>
            </w:pPr>
            <w:r>
              <w:rPr>
                <w:color w:val="000000"/>
              </w:rPr>
              <w:t>-12%</w:t>
            </w:r>
          </w:p>
        </w:tc>
      </w:tr>
      <w:tr w:rsidR="00DB48E0" w14:paraId="292996A8" w14:textId="77777777">
        <w:trPr>
          <w:trHeight w:val="170"/>
          <w:jc w:val="center"/>
        </w:trPr>
        <w:tc>
          <w:tcPr>
            <w:tcW w:w="1701" w:type="dxa"/>
            <w:vAlign w:val="center"/>
          </w:tcPr>
          <w:p w14:paraId="5B274828" w14:textId="77777777" w:rsidR="00DB48E0" w:rsidRDefault="00000000">
            <w:pPr>
              <w:spacing w:before="0"/>
            </w:pPr>
            <w:r>
              <w:rPr>
                <w:color w:val="000000"/>
              </w:rPr>
              <w:t>Low vol</w:t>
            </w:r>
          </w:p>
        </w:tc>
        <w:tc>
          <w:tcPr>
            <w:tcW w:w="1701" w:type="dxa"/>
            <w:vAlign w:val="center"/>
          </w:tcPr>
          <w:p w14:paraId="0D07FAE7" w14:textId="77777777" w:rsidR="00DB48E0" w:rsidRDefault="00000000">
            <w:pPr>
              <w:spacing w:before="0"/>
              <w:jc w:val="center"/>
              <w:rPr>
                <w:color w:val="000000"/>
              </w:rPr>
            </w:pPr>
            <w:r>
              <w:rPr>
                <w:color w:val="000000"/>
              </w:rPr>
              <w:t>5%</w:t>
            </w:r>
          </w:p>
        </w:tc>
        <w:tc>
          <w:tcPr>
            <w:tcW w:w="1701" w:type="dxa"/>
            <w:vAlign w:val="center"/>
          </w:tcPr>
          <w:p w14:paraId="063137A1" w14:textId="77777777" w:rsidR="00DB48E0" w:rsidRDefault="00000000">
            <w:pPr>
              <w:spacing w:before="0"/>
              <w:jc w:val="center"/>
              <w:rPr>
                <w:color w:val="000000"/>
              </w:rPr>
            </w:pPr>
            <w:r>
              <w:rPr>
                <w:color w:val="000000"/>
              </w:rPr>
              <w:t>9%</w:t>
            </w:r>
          </w:p>
        </w:tc>
        <w:tc>
          <w:tcPr>
            <w:tcW w:w="1701" w:type="dxa"/>
            <w:vAlign w:val="center"/>
          </w:tcPr>
          <w:p w14:paraId="292FC872" w14:textId="77777777" w:rsidR="00DB48E0" w:rsidRDefault="00000000">
            <w:pPr>
              <w:spacing w:before="0"/>
              <w:jc w:val="center"/>
              <w:rPr>
                <w:color w:val="000000"/>
              </w:rPr>
            </w:pPr>
            <w:r>
              <w:rPr>
                <w:color w:val="000000"/>
              </w:rPr>
              <w:t>-10%</w:t>
            </w:r>
          </w:p>
        </w:tc>
      </w:tr>
      <w:tr w:rsidR="00DB48E0" w14:paraId="0FECA0EF" w14:textId="77777777">
        <w:trPr>
          <w:trHeight w:val="170"/>
          <w:jc w:val="center"/>
        </w:trPr>
        <w:tc>
          <w:tcPr>
            <w:tcW w:w="1701" w:type="dxa"/>
            <w:vAlign w:val="center"/>
          </w:tcPr>
          <w:p w14:paraId="3B856B52" w14:textId="77777777" w:rsidR="00DB48E0" w:rsidRDefault="00000000">
            <w:pPr>
              <w:spacing w:before="0"/>
            </w:pPr>
            <w:proofErr w:type="spellStart"/>
            <w:r>
              <w:rPr>
                <w:color w:val="000000"/>
              </w:rPr>
              <w:t>Market</w:t>
            </w:r>
            <w:proofErr w:type="spellEnd"/>
          </w:p>
        </w:tc>
        <w:tc>
          <w:tcPr>
            <w:tcW w:w="1701" w:type="dxa"/>
            <w:vAlign w:val="center"/>
          </w:tcPr>
          <w:p w14:paraId="0872FCCA" w14:textId="77777777" w:rsidR="00DB48E0" w:rsidRDefault="00000000">
            <w:pPr>
              <w:spacing w:before="0"/>
              <w:jc w:val="center"/>
            </w:pPr>
            <w:r>
              <w:rPr>
                <w:color w:val="000000"/>
              </w:rPr>
              <w:t>3%</w:t>
            </w:r>
          </w:p>
        </w:tc>
        <w:tc>
          <w:tcPr>
            <w:tcW w:w="1701" w:type="dxa"/>
            <w:vAlign w:val="center"/>
          </w:tcPr>
          <w:p w14:paraId="3E58763F" w14:textId="77777777" w:rsidR="00DB48E0" w:rsidRDefault="00000000">
            <w:pPr>
              <w:spacing w:before="0"/>
              <w:jc w:val="center"/>
            </w:pPr>
            <w:r>
              <w:rPr>
                <w:color w:val="000000"/>
              </w:rPr>
              <w:t>14%</w:t>
            </w:r>
          </w:p>
        </w:tc>
        <w:tc>
          <w:tcPr>
            <w:tcW w:w="1701" w:type="dxa"/>
            <w:vAlign w:val="center"/>
          </w:tcPr>
          <w:p w14:paraId="62BD36CF" w14:textId="77777777" w:rsidR="00DB48E0" w:rsidRDefault="00000000">
            <w:pPr>
              <w:spacing w:before="0"/>
              <w:jc w:val="center"/>
            </w:pPr>
            <w:r>
              <w:rPr>
                <w:color w:val="000000"/>
              </w:rPr>
              <w:t>-21%</w:t>
            </w:r>
          </w:p>
        </w:tc>
      </w:tr>
      <w:tr w:rsidR="00DB48E0" w14:paraId="45423F73" w14:textId="77777777">
        <w:trPr>
          <w:trHeight w:val="170"/>
          <w:jc w:val="center"/>
        </w:trPr>
        <w:tc>
          <w:tcPr>
            <w:tcW w:w="1701" w:type="dxa"/>
            <w:vAlign w:val="center"/>
          </w:tcPr>
          <w:p w14:paraId="03E69C5D" w14:textId="77777777" w:rsidR="00DB48E0" w:rsidRDefault="00000000">
            <w:pPr>
              <w:spacing w:before="0"/>
            </w:pPr>
            <w:r>
              <w:rPr>
                <w:color w:val="000000"/>
              </w:rPr>
              <w:t>Large</w:t>
            </w:r>
          </w:p>
        </w:tc>
        <w:tc>
          <w:tcPr>
            <w:tcW w:w="1701" w:type="dxa"/>
            <w:vAlign w:val="center"/>
          </w:tcPr>
          <w:p w14:paraId="41093D5A" w14:textId="77777777" w:rsidR="00DB48E0" w:rsidRDefault="00000000">
            <w:pPr>
              <w:spacing w:before="0"/>
              <w:jc w:val="center"/>
              <w:rPr>
                <w:color w:val="000000"/>
              </w:rPr>
            </w:pPr>
            <w:r>
              <w:rPr>
                <w:color w:val="000000"/>
              </w:rPr>
              <w:t>3%</w:t>
            </w:r>
          </w:p>
        </w:tc>
        <w:tc>
          <w:tcPr>
            <w:tcW w:w="1701" w:type="dxa"/>
            <w:vAlign w:val="center"/>
          </w:tcPr>
          <w:p w14:paraId="1A838DEC" w14:textId="77777777" w:rsidR="00DB48E0" w:rsidRDefault="00000000">
            <w:pPr>
              <w:spacing w:before="0"/>
              <w:jc w:val="center"/>
              <w:rPr>
                <w:color w:val="000000"/>
              </w:rPr>
            </w:pPr>
            <w:r>
              <w:rPr>
                <w:color w:val="000000"/>
              </w:rPr>
              <w:t>14%</w:t>
            </w:r>
          </w:p>
        </w:tc>
        <w:tc>
          <w:tcPr>
            <w:tcW w:w="1701" w:type="dxa"/>
            <w:vAlign w:val="center"/>
          </w:tcPr>
          <w:p w14:paraId="43E8639C" w14:textId="77777777" w:rsidR="00DB48E0" w:rsidRDefault="00000000">
            <w:pPr>
              <w:spacing w:before="0"/>
              <w:jc w:val="center"/>
              <w:rPr>
                <w:color w:val="000000"/>
              </w:rPr>
            </w:pPr>
            <w:r>
              <w:rPr>
                <w:color w:val="000000"/>
              </w:rPr>
              <w:t>-21%</w:t>
            </w:r>
          </w:p>
        </w:tc>
      </w:tr>
      <w:tr w:rsidR="00DB48E0" w14:paraId="1C569BE2" w14:textId="77777777">
        <w:trPr>
          <w:trHeight w:val="170"/>
          <w:jc w:val="center"/>
        </w:trPr>
        <w:tc>
          <w:tcPr>
            <w:tcW w:w="1701" w:type="dxa"/>
            <w:tcBorders>
              <w:bottom w:val="single" w:sz="4" w:space="0" w:color="000000"/>
            </w:tcBorders>
            <w:vAlign w:val="center"/>
          </w:tcPr>
          <w:p w14:paraId="1988E836" w14:textId="77777777" w:rsidR="00DB48E0" w:rsidRDefault="00000000">
            <w:pPr>
              <w:spacing w:before="0"/>
            </w:pPr>
            <w:r>
              <w:rPr>
                <w:color w:val="000000"/>
              </w:rPr>
              <w:t>Value</w:t>
            </w:r>
          </w:p>
        </w:tc>
        <w:tc>
          <w:tcPr>
            <w:tcW w:w="1701" w:type="dxa"/>
            <w:tcBorders>
              <w:bottom w:val="single" w:sz="4" w:space="0" w:color="000000"/>
            </w:tcBorders>
            <w:vAlign w:val="center"/>
          </w:tcPr>
          <w:p w14:paraId="34411365" w14:textId="77777777" w:rsidR="00DB48E0" w:rsidRDefault="00000000">
            <w:pPr>
              <w:spacing w:before="0"/>
              <w:jc w:val="center"/>
              <w:rPr>
                <w:color w:val="000000"/>
              </w:rPr>
            </w:pPr>
            <w:r>
              <w:rPr>
                <w:color w:val="000000"/>
              </w:rPr>
              <w:t>1%</w:t>
            </w:r>
          </w:p>
        </w:tc>
        <w:tc>
          <w:tcPr>
            <w:tcW w:w="1701" w:type="dxa"/>
            <w:tcBorders>
              <w:bottom w:val="single" w:sz="4" w:space="0" w:color="000000"/>
            </w:tcBorders>
            <w:vAlign w:val="center"/>
          </w:tcPr>
          <w:p w14:paraId="3F91D0E0" w14:textId="77777777" w:rsidR="00DB48E0" w:rsidRDefault="00000000">
            <w:pPr>
              <w:spacing w:before="0"/>
              <w:jc w:val="center"/>
              <w:rPr>
                <w:color w:val="000000"/>
              </w:rPr>
            </w:pPr>
            <w:r>
              <w:rPr>
                <w:color w:val="000000"/>
              </w:rPr>
              <w:t>16%</w:t>
            </w:r>
          </w:p>
        </w:tc>
        <w:tc>
          <w:tcPr>
            <w:tcW w:w="1701" w:type="dxa"/>
            <w:tcBorders>
              <w:bottom w:val="single" w:sz="4" w:space="0" w:color="000000"/>
            </w:tcBorders>
            <w:vAlign w:val="center"/>
          </w:tcPr>
          <w:p w14:paraId="5806EA47" w14:textId="77777777" w:rsidR="00DB48E0" w:rsidRDefault="00000000">
            <w:pPr>
              <w:spacing w:before="0"/>
              <w:jc w:val="center"/>
              <w:rPr>
                <w:color w:val="000000"/>
              </w:rPr>
            </w:pPr>
            <w:r>
              <w:rPr>
                <w:color w:val="000000"/>
              </w:rPr>
              <w:t>-24%</w:t>
            </w:r>
          </w:p>
        </w:tc>
      </w:tr>
    </w:tbl>
    <w:p w14:paraId="41A6EAC5" w14:textId="77777777" w:rsidR="00DB48E0" w:rsidRDefault="00000000">
      <w:pPr>
        <w:spacing w:after="240"/>
      </w:pPr>
      <w:r>
        <w:t>Source : auteurs, mars 2025.  </w:t>
      </w:r>
    </w:p>
    <w:p w14:paraId="3B894DDA" w14:textId="77777777" w:rsidR="00DB48E0" w:rsidRDefault="00000000">
      <w:r>
        <w:t xml:space="preserve">Les performances sont positives sur la période, bien que contrastées. La stratégie Momentum (11 %) a bien performé, captant les tendances haussières du marché. Les Small Caps affichent également une rentabilité annuelle élevée, ce qui reflète leur fort rebond après l’effondrement de 2008-2009, une tendance classique en sortie de crise. Les styles </w:t>
      </w:r>
      <w:proofErr w:type="spellStart"/>
      <w:r>
        <w:t>Growth</w:t>
      </w:r>
      <w:proofErr w:type="spellEnd"/>
      <w:r>
        <w:t xml:space="preserve"> (7 %) et </w:t>
      </w:r>
      <w:proofErr w:type="spellStart"/>
      <w:r>
        <w:t>Quality</w:t>
      </w:r>
      <w:proofErr w:type="spellEnd"/>
      <w:r>
        <w:t xml:space="preserve"> (7 %) ont surperformé les Large Caps (3 %) et la Value (1 %), ce qui montre que les investisseurs ont privilégié la croissance et les entreprises solides face aux incertitudes économiques. La stratégie Low </w:t>
      </w:r>
      <w:proofErr w:type="spellStart"/>
      <w:r>
        <w:t>Volatility</w:t>
      </w:r>
      <w:proofErr w:type="spellEnd"/>
      <w:r>
        <w:t xml:space="preserve"> (5 %) a obtenu un rendement plus élevé que les grandes capitalisations et la value.</w:t>
      </w:r>
    </w:p>
    <w:p w14:paraId="1D7C6636" w14:textId="77777777" w:rsidR="00DB48E0" w:rsidRDefault="00000000">
      <w:r>
        <w:t>Globalement, malgré la situation économique tendue, notamment au niveau des taux souverains, les différentes stratégies d’investissement sont à la hausse. Cette hausse reste toutefois inférieure à celle du milieu des années 2000.</w:t>
      </w:r>
    </w:p>
    <w:p w14:paraId="4869DA11" w14:textId="77777777" w:rsidR="00DB48E0" w:rsidRDefault="00000000">
      <w:r>
        <w:t xml:space="preserve">Les volatilités annualisées sont significativement plus faibles qu’en 2008-2009, bien que toujours élevées (entre 9 % et 16 %), ce qui reflète un marché en phase de reprise mais encore fragile. La stratégie Low </w:t>
      </w:r>
      <w:proofErr w:type="spellStart"/>
      <w:r>
        <w:t>Volatility</w:t>
      </w:r>
      <w:proofErr w:type="spellEnd"/>
      <w:r>
        <w:t xml:space="preserve"> (9 %) et </w:t>
      </w:r>
      <w:proofErr w:type="spellStart"/>
      <w:r>
        <w:t>Quality</w:t>
      </w:r>
      <w:proofErr w:type="spellEnd"/>
      <w:r>
        <w:t xml:space="preserve"> (10 %) affichent les volatilités les plus faibles, ce qui est cohérent avec leur nature défensive et la recherche de stabilité par les investisseurs. En revanche, les Small Caps (16 %) et la Value (16 %) sont les plus volatiles, ce qui montre qu’elles sont restées plus sensibles aux fluctuations du marché.</w:t>
      </w:r>
    </w:p>
    <w:p w14:paraId="1FDF9DB6" w14:textId="77777777" w:rsidR="00DB48E0" w:rsidRDefault="00000000">
      <w:r>
        <w:t xml:space="preserve">Le maximum </w:t>
      </w:r>
      <w:proofErr w:type="spellStart"/>
      <w:r>
        <w:t>drawdown</w:t>
      </w:r>
      <w:proofErr w:type="spellEnd"/>
      <w:r>
        <w:t xml:space="preserve">, c'est-à-dire la perte maximale subie en cours de période, est modéré comparé à la crise précédente, mais il reste significatif, notamment pour les Value (-24 %) et Small Caps (-24 %), qui ont subi des corrections importantes. À l’inverse, les styles Low Vol (-10 %) et </w:t>
      </w:r>
      <w:proofErr w:type="spellStart"/>
      <w:r>
        <w:t>Quality</w:t>
      </w:r>
      <w:proofErr w:type="spellEnd"/>
      <w:r>
        <w:t xml:space="preserve"> (-12 %) ont été plus résilients, confirmant leur rôle de protection.</w:t>
      </w:r>
    </w:p>
    <w:p w14:paraId="60B2194B" w14:textId="77777777" w:rsidR="00DB48E0" w:rsidRDefault="00000000">
      <w:r>
        <w:t xml:space="preserve">Globalement, la volatilité sur les marchés a baissé sur cette période qui constitue plus une reprise au sortir de la crise des </w:t>
      </w:r>
      <w:proofErr w:type="spellStart"/>
      <w:r>
        <w:t>subprimes</w:t>
      </w:r>
      <w:proofErr w:type="spellEnd"/>
      <w:r>
        <w:t xml:space="preserve"> qu’une matérialisation des turbulences au niveau des taux souverains. Cependant, la volatilité reste élevée au regard des niveaux connus dans le milieu des années 2000.</w:t>
      </w:r>
    </w:p>
    <w:p w14:paraId="2B814BB5" w14:textId="77777777" w:rsidR="00DB48E0" w:rsidRDefault="00000000">
      <w:pPr>
        <w:pStyle w:val="Titre3"/>
      </w:pPr>
      <w:bookmarkStart w:id="42" w:name="_Toc194078575"/>
      <w:r>
        <w:lastRenderedPageBreak/>
        <w:t>Reprise et expansion des années 2010 (décembre 2012 – décembre 2019)</w:t>
      </w:r>
      <w:bookmarkEnd w:id="42"/>
    </w:p>
    <w:p w14:paraId="1A422317" w14:textId="77777777" w:rsidR="00DB48E0" w:rsidRDefault="00000000">
      <w:r>
        <w:t>La période de 2013 à 2019 marque une phase de reprise économique après la crise des dettes souveraines en zone euro. Les mesures de soutien de la Banque Centrale Européenne (BCE), notamment les politiques monétaires accommodantes, ont contribué à stabiliser les marchés financiers. Cependant, cette période a également été marquée par des défis économiques persistants, notamment des taux de croissance modérés et des incertitudes politiques, comme le Brexit. L'indice MSCI Europe a montré une tendance à la hausse, bien que ponctuée par des périodes de volatilité.</w:t>
      </w:r>
    </w:p>
    <w:p w14:paraId="0F71CB5C" w14:textId="6EDA47E5" w:rsidR="00DB48E0" w:rsidRDefault="00A27748" w:rsidP="00A27748">
      <w:pPr>
        <w:pStyle w:val="Lgende"/>
        <w:rPr>
          <w:b w:val="0"/>
          <w:color w:val="000000"/>
        </w:rPr>
      </w:pPr>
      <w:bookmarkStart w:id="43" w:name="_heading=h.yojmibt27tfj" w:colFirst="0" w:colLast="0"/>
      <w:bookmarkStart w:id="44" w:name="_Toc194078600"/>
      <w:bookmarkEnd w:id="43"/>
      <w:r>
        <w:t xml:space="preserve">Tableau </w:t>
      </w:r>
      <w:fldSimple w:instr=" SEQ Tableau \* ARABIC ">
        <w:r w:rsidR="004D7D3B">
          <w:rPr>
            <w:noProof/>
          </w:rPr>
          <w:t>10</w:t>
        </w:r>
      </w:fldSimple>
      <w:r>
        <w:rPr>
          <w:color w:val="000000"/>
          <w:sz w:val="22"/>
          <w:szCs w:val="22"/>
        </w:rPr>
        <w:t xml:space="preserve">. </w:t>
      </w:r>
      <w:r>
        <w:rPr>
          <w:color w:val="000000"/>
        </w:rPr>
        <w:t>Indicateurs de performances et de risque des styles pendant les années 2010</w:t>
      </w:r>
      <w:bookmarkEnd w:id="44"/>
    </w:p>
    <w:tbl>
      <w:tblPr>
        <w:tblStyle w:val="a8"/>
        <w:tblW w:w="680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701"/>
        <w:gridCol w:w="1701"/>
        <w:gridCol w:w="1701"/>
        <w:gridCol w:w="1701"/>
      </w:tblGrid>
      <w:tr w:rsidR="00DB48E0" w14:paraId="63591A01" w14:textId="77777777">
        <w:trPr>
          <w:jc w:val="center"/>
        </w:trPr>
        <w:tc>
          <w:tcPr>
            <w:tcW w:w="1701" w:type="dxa"/>
            <w:tcBorders>
              <w:top w:val="single" w:sz="4" w:space="0" w:color="000000"/>
              <w:bottom w:val="single" w:sz="4" w:space="0" w:color="000000"/>
            </w:tcBorders>
            <w:vAlign w:val="center"/>
          </w:tcPr>
          <w:p w14:paraId="1B93432B" w14:textId="77777777" w:rsidR="00DB48E0" w:rsidRDefault="00000000">
            <w:pPr>
              <w:jc w:val="left"/>
            </w:pPr>
            <w:r>
              <w:t>Styles d’investissement</w:t>
            </w:r>
          </w:p>
        </w:tc>
        <w:tc>
          <w:tcPr>
            <w:tcW w:w="1701" w:type="dxa"/>
            <w:tcBorders>
              <w:top w:val="single" w:sz="4" w:space="0" w:color="000000"/>
              <w:bottom w:val="single" w:sz="4" w:space="0" w:color="000000"/>
            </w:tcBorders>
            <w:vAlign w:val="center"/>
          </w:tcPr>
          <w:p w14:paraId="7B848BAE" w14:textId="77777777" w:rsidR="00DB48E0" w:rsidRDefault="00000000">
            <w:pPr>
              <w:jc w:val="center"/>
            </w:pPr>
            <w:r>
              <w:t>Rentabilité annuelle</w:t>
            </w:r>
          </w:p>
        </w:tc>
        <w:tc>
          <w:tcPr>
            <w:tcW w:w="1701" w:type="dxa"/>
            <w:tcBorders>
              <w:top w:val="single" w:sz="4" w:space="0" w:color="000000"/>
              <w:bottom w:val="single" w:sz="4" w:space="0" w:color="000000"/>
            </w:tcBorders>
            <w:vAlign w:val="center"/>
          </w:tcPr>
          <w:p w14:paraId="26EF81DB" w14:textId="77777777" w:rsidR="00DB48E0" w:rsidRDefault="00000000">
            <w:pPr>
              <w:jc w:val="center"/>
            </w:pPr>
            <w:r>
              <w:t>Volatilité annuelle</w:t>
            </w:r>
          </w:p>
        </w:tc>
        <w:tc>
          <w:tcPr>
            <w:tcW w:w="1701" w:type="dxa"/>
            <w:tcBorders>
              <w:top w:val="single" w:sz="4" w:space="0" w:color="000000"/>
              <w:bottom w:val="single" w:sz="4" w:space="0" w:color="000000"/>
            </w:tcBorders>
            <w:vAlign w:val="center"/>
          </w:tcPr>
          <w:p w14:paraId="4D557AE9" w14:textId="77777777" w:rsidR="00DB48E0" w:rsidRDefault="00000000">
            <w:pPr>
              <w:jc w:val="center"/>
            </w:pPr>
            <w:r>
              <w:t xml:space="preserve">Max </w:t>
            </w:r>
            <w:proofErr w:type="spellStart"/>
            <w:r>
              <w:t>drawdown</w:t>
            </w:r>
            <w:proofErr w:type="spellEnd"/>
          </w:p>
        </w:tc>
      </w:tr>
      <w:tr w:rsidR="00DB48E0" w14:paraId="52671E67" w14:textId="77777777">
        <w:trPr>
          <w:trHeight w:val="170"/>
          <w:jc w:val="center"/>
        </w:trPr>
        <w:tc>
          <w:tcPr>
            <w:tcW w:w="1701" w:type="dxa"/>
            <w:tcBorders>
              <w:top w:val="single" w:sz="4" w:space="0" w:color="000000"/>
            </w:tcBorders>
            <w:vAlign w:val="center"/>
          </w:tcPr>
          <w:p w14:paraId="6C477EA3" w14:textId="77777777" w:rsidR="00DB48E0" w:rsidRDefault="00000000">
            <w:r>
              <w:rPr>
                <w:color w:val="000000"/>
              </w:rPr>
              <w:t>Small</w:t>
            </w:r>
          </w:p>
        </w:tc>
        <w:tc>
          <w:tcPr>
            <w:tcW w:w="1701" w:type="dxa"/>
            <w:tcBorders>
              <w:top w:val="single" w:sz="4" w:space="0" w:color="000000"/>
            </w:tcBorders>
            <w:vAlign w:val="center"/>
          </w:tcPr>
          <w:p w14:paraId="0DD23119" w14:textId="77777777" w:rsidR="00DB48E0" w:rsidRDefault="00000000">
            <w:pPr>
              <w:jc w:val="center"/>
              <w:rPr>
                <w:color w:val="000000"/>
              </w:rPr>
            </w:pPr>
            <w:r>
              <w:rPr>
                <w:color w:val="000000"/>
              </w:rPr>
              <w:t>10%</w:t>
            </w:r>
          </w:p>
        </w:tc>
        <w:tc>
          <w:tcPr>
            <w:tcW w:w="1701" w:type="dxa"/>
            <w:tcBorders>
              <w:top w:val="single" w:sz="4" w:space="0" w:color="000000"/>
            </w:tcBorders>
            <w:vAlign w:val="center"/>
          </w:tcPr>
          <w:p w14:paraId="53B2458D" w14:textId="77777777" w:rsidR="00DB48E0" w:rsidRDefault="00000000">
            <w:pPr>
              <w:jc w:val="center"/>
              <w:rPr>
                <w:color w:val="000000"/>
              </w:rPr>
            </w:pPr>
            <w:r>
              <w:rPr>
                <w:color w:val="000000"/>
              </w:rPr>
              <w:t>13%</w:t>
            </w:r>
          </w:p>
        </w:tc>
        <w:tc>
          <w:tcPr>
            <w:tcW w:w="1701" w:type="dxa"/>
            <w:tcBorders>
              <w:top w:val="single" w:sz="4" w:space="0" w:color="000000"/>
            </w:tcBorders>
            <w:vAlign w:val="center"/>
          </w:tcPr>
          <w:p w14:paraId="79231846" w14:textId="77777777" w:rsidR="00DB48E0" w:rsidRDefault="00000000">
            <w:pPr>
              <w:jc w:val="center"/>
              <w:rPr>
                <w:color w:val="000000"/>
              </w:rPr>
            </w:pPr>
            <w:r>
              <w:rPr>
                <w:color w:val="000000"/>
              </w:rPr>
              <w:t>-19%</w:t>
            </w:r>
          </w:p>
        </w:tc>
      </w:tr>
      <w:tr w:rsidR="00DB48E0" w14:paraId="6333665A" w14:textId="77777777">
        <w:trPr>
          <w:trHeight w:val="170"/>
          <w:jc w:val="center"/>
        </w:trPr>
        <w:tc>
          <w:tcPr>
            <w:tcW w:w="1701" w:type="dxa"/>
            <w:vAlign w:val="center"/>
          </w:tcPr>
          <w:p w14:paraId="590641B0" w14:textId="77777777" w:rsidR="00DB48E0" w:rsidRDefault="00000000">
            <w:pPr>
              <w:spacing w:before="0"/>
            </w:pPr>
            <w:r>
              <w:rPr>
                <w:color w:val="000000"/>
              </w:rPr>
              <w:t>Momentum</w:t>
            </w:r>
          </w:p>
        </w:tc>
        <w:tc>
          <w:tcPr>
            <w:tcW w:w="1701" w:type="dxa"/>
            <w:vAlign w:val="center"/>
          </w:tcPr>
          <w:p w14:paraId="6012E8D5" w14:textId="77777777" w:rsidR="00DB48E0" w:rsidRDefault="00000000">
            <w:pPr>
              <w:spacing w:before="0"/>
              <w:jc w:val="center"/>
              <w:rPr>
                <w:color w:val="000000"/>
              </w:rPr>
            </w:pPr>
            <w:r>
              <w:rPr>
                <w:color w:val="000000"/>
              </w:rPr>
              <w:t>9%</w:t>
            </w:r>
          </w:p>
        </w:tc>
        <w:tc>
          <w:tcPr>
            <w:tcW w:w="1701" w:type="dxa"/>
            <w:vAlign w:val="center"/>
          </w:tcPr>
          <w:p w14:paraId="507B22CC" w14:textId="77777777" w:rsidR="00DB48E0" w:rsidRDefault="00000000">
            <w:pPr>
              <w:spacing w:before="0"/>
              <w:jc w:val="center"/>
              <w:rPr>
                <w:color w:val="000000"/>
              </w:rPr>
            </w:pPr>
            <w:r>
              <w:rPr>
                <w:color w:val="000000"/>
              </w:rPr>
              <w:t>11%</w:t>
            </w:r>
          </w:p>
        </w:tc>
        <w:tc>
          <w:tcPr>
            <w:tcW w:w="1701" w:type="dxa"/>
            <w:vAlign w:val="center"/>
          </w:tcPr>
          <w:p w14:paraId="1EF2C9C6" w14:textId="77777777" w:rsidR="00DB48E0" w:rsidRDefault="00000000">
            <w:pPr>
              <w:spacing w:before="0"/>
              <w:jc w:val="center"/>
              <w:rPr>
                <w:color w:val="000000"/>
              </w:rPr>
            </w:pPr>
            <w:r>
              <w:rPr>
                <w:color w:val="000000"/>
              </w:rPr>
              <w:t>-16%</w:t>
            </w:r>
          </w:p>
        </w:tc>
      </w:tr>
      <w:tr w:rsidR="00DB48E0" w14:paraId="72BF14DA" w14:textId="77777777">
        <w:trPr>
          <w:trHeight w:val="170"/>
          <w:jc w:val="center"/>
        </w:trPr>
        <w:tc>
          <w:tcPr>
            <w:tcW w:w="1701" w:type="dxa"/>
            <w:vAlign w:val="center"/>
          </w:tcPr>
          <w:p w14:paraId="45EA7817" w14:textId="77777777" w:rsidR="00DB48E0" w:rsidRDefault="00000000">
            <w:pPr>
              <w:spacing w:before="0"/>
            </w:pPr>
            <w:proofErr w:type="spellStart"/>
            <w:r>
              <w:rPr>
                <w:color w:val="000000"/>
              </w:rPr>
              <w:t>Growth</w:t>
            </w:r>
            <w:proofErr w:type="spellEnd"/>
          </w:p>
        </w:tc>
        <w:tc>
          <w:tcPr>
            <w:tcW w:w="1701" w:type="dxa"/>
            <w:vAlign w:val="center"/>
          </w:tcPr>
          <w:p w14:paraId="4F0DEBB0" w14:textId="77777777" w:rsidR="00DB48E0" w:rsidRDefault="00000000">
            <w:pPr>
              <w:spacing w:before="0"/>
              <w:jc w:val="center"/>
              <w:rPr>
                <w:color w:val="000000"/>
              </w:rPr>
            </w:pPr>
            <w:r>
              <w:rPr>
                <w:color w:val="000000"/>
              </w:rPr>
              <w:t>8%</w:t>
            </w:r>
          </w:p>
        </w:tc>
        <w:tc>
          <w:tcPr>
            <w:tcW w:w="1701" w:type="dxa"/>
            <w:vAlign w:val="center"/>
          </w:tcPr>
          <w:p w14:paraId="641796E7" w14:textId="77777777" w:rsidR="00DB48E0" w:rsidRDefault="00000000">
            <w:pPr>
              <w:spacing w:before="0"/>
              <w:jc w:val="center"/>
              <w:rPr>
                <w:color w:val="000000"/>
              </w:rPr>
            </w:pPr>
            <w:r>
              <w:rPr>
                <w:color w:val="000000"/>
              </w:rPr>
              <w:t>11%</w:t>
            </w:r>
          </w:p>
        </w:tc>
        <w:tc>
          <w:tcPr>
            <w:tcW w:w="1701" w:type="dxa"/>
            <w:vAlign w:val="center"/>
          </w:tcPr>
          <w:p w14:paraId="7804FF32" w14:textId="77777777" w:rsidR="00DB48E0" w:rsidRDefault="00000000">
            <w:pPr>
              <w:spacing w:before="0"/>
              <w:jc w:val="center"/>
              <w:rPr>
                <w:color w:val="000000"/>
              </w:rPr>
            </w:pPr>
            <w:r>
              <w:rPr>
                <w:color w:val="000000"/>
              </w:rPr>
              <w:t>-13%</w:t>
            </w:r>
          </w:p>
        </w:tc>
      </w:tr>
      <w:tr w:rsidR="00DB48E0" w14:paraId="49498BDB" w14:textId="77777777">
        <w:trPr>
          <w:trHeight w:val="170"/>
          <w:jc w:val="center"/>
        </w:trPr>
        <w:tc>
          <w:tcPr>
            <w:tcW w:w="1701" w:type="dxa"/>
            <w:vAlign w:val="center"/>
          </w:tcPr>
          <w:p w14:paraId="278FDA6B" w14:textId="77777777" w:rsidR="00DB48E0" w:rsidRDefault="00000000">
            <w:pPr>
              <w:spacing w:before="0"/>
            </w:pPr>
            <w:proofErr w:type="spellStart"/>
            <w:r>
              <w:rPr>
                <w:color w:val="000000"/>
              </w:rPr>
              <w:t>Quality</w:t>
            </w:r>
            <w:proofErr w:type="spellEnd"/>
          </w:p>
        </w:tc>
        <w:tc>
          <w:tcPr>
            <w:tcW w:w="1701" w:type="dxa"/>
            <w:vAlign w:val="center"/>
          </w:tcPr>
          <w:p w14:paraId="54BB1203" w14:textId="77777777" w:rsidR="00DB48E0" w:rsidRDefault="00000000">
            <w:pPr>
              <w:spacing w:before="0"/>
              <w:jc w:val="center"/>
              <w:rPr>
                <w:color w:val="000000"/>
              </w:rPr>
            </w:pPr>
            <w:r>
              <w:rPr>
                <w:color w:val="000000"/>
              </w:rPr>
              <w:t>8%</w:t>
            </w:r>
          </w:p>
        </w:tc>
        <w:tc>
          <w:tcPr>
            <w:tcW w:w="1701" w:type="dxa"/>
            <w:vAlign w:val="center"/>
          </w:tcPr>
          <w:p w14:paraId="27AEE072" w14:textId="77777777" w:rsidR="00DB48E0" w:rsidRDefault="00000000">
            <w:pPr>
              <w:spacing w:before="0"/>
              <w:jc w:val="center"/>
              <w:rPr>
                <w:color w:val="000000"/>
              </w:rPr>
            </w:pPr>
            <w:r>
              <w:rPr>
                <w:color w:val="000000"/>
              </w:rPr>
              <w:t>11%</w:t>
            </w:r>
          </w:p>
        </w:tc>
        <w:tc>
          <w:tcPr>
            <w:tcW w:w="1701" w:type="dxa"/>
            <w:vAlign w:val="center"/>
          </w:tcPr>
          <w:p w14:paraId="7AE549B5" w14:textId="77777777" w:rsidR="00DB48E0" w:rsidRDefault="00000000">
            <w:pPr>
              <w:spacing w:before="0"/>
              <w:jc w:val="center"/>
              <w:rPr>
                <w:color w:val="000000"/>
              </w:rPr>
            </w:pPr>
            <w:r>
              <w:rPr>
                <w:color w:val="000000"/>
              </w:rPr>
              <w:t>-12%</w:t>
            </w:r>
          </w:p>
        </w:tc>
      </w:tr>
      <w:tr w:rsidR="00DB48E0" w14:paraId="61620A29" w14:textId="77777777">
        <w:trPr>
          <w:trHeight w:val="170"/>
          <w:jc w:val="center"/>
        </w:trPr>
        <w:tc>
          <w:tcPr>
            <w:tcW w:w="1701" w:type="dxa"/>
            <w:vAlign w:val="center"/>
          </w:tcPr>
          <w:p w14:paraId="25872800" w14:textId="77777777" w:rsidR="00DB48E0" w:rsidRDefault="00000000">
            <w:pPr>
              <w:spacing w:before="0"/>
            </w:pPr>
            <w:r>
              <w:rPr>
                <w:color w:val="000000"/>
              </w:rPr>
              <w:t>Low Vol</w:t>
            </w:r>
          </w:p>
        </w:tc>
        <w:tc>
          <w:tcPr>
            <w:tcW w:w="1701" w:type="dxa"/>
            <w:vAlign w:val="center"/>
          </w:tcPr>
          <w:p w14:paraId="4D1660DD" w14:textId="77777777" w:rsidR="00DB48E0" w:rsidRDefault="00000000">
            <w:pPr>
              <w:spacing w:before="0"/>
              <w:jc w:val="center"/>
              <w:rPr>
                <w:color w:val="000000"/>
              </w:rPr>
            </w:pPr>
            <w:r>
              <w:rPr>
                <w:color w:val="000000"/>
              </w:rPr>
              <w:t>7%</w:t>
            </w:r>
          </w:p>
        </w:tc>
        <w:tc>
          <w:tcPr>
            <w:tcW w:w="1701" w:type="dxa"/>
            <w:vAlign w:val="center"/>
          </w:tcPr>
          <w:p w14:paraId="6E8EE875" w14:textId="77777777" w:rsidR="00DB48E0" w:rsidRDefault="00000000">
            <w:pPr>
              <w:spacing w:before="0"/>
              <w:jc w:val="center"/>
              <w:rPr>
                <w:color w:val="000000"/>
              </w:rPr>
            </w:pPr>
            <w:r>
              <w:rPr>
                <w:color w:val="000000"/>
              </w:rPr>
              <w:t>9%</w:t>
            </w:r>
          </w:p>
        </w:tc>
        <w:tc>
          <w:tcPr>
            <w:tcW w:w="1701" w:type="dxa"/>
            <w:vAlign w:val="center"/>
          </w:tcPr>
          <w:p w14:paraId="7B78B91A" w14:textId="77777777" w:rsidR="00DB48E0" w:rsidRDefault="00000000">
            <w:pPr>
              <w:spacing w:before="0"/>
              <w:jc w:val="center"/>
              <w:rPr>
                <w:color w:val="000000"/>
              </w:rPr>
            </w:pPr>
            <w:r>
              <w:rPr>
                <w:color w:val="000000"/>
              </w:rPr>
              <w:t>-14%</w:t>
            </w:r>
          </w:p>
        </w:tc>
      </w:tr>
      <w:tr w:rsidR="00DB48E0" w14:paraId="2253E0A3" w14:textId="77777777">
        <w:trPr>
          <w:trHeight w:val="170"/>
          <w:jc w:val="center"/>
        </w:trPr>
        <w:tc>
          <w:tcPr>
            <w:tcW w:w="1701" w:type="dxa"/>
            <w:vAlign w:val="center"/>
          </w:tcPr>
          <w:p w14:paraId="092CC082" w14:textId="77777777" w:rsidR="00DB48E0" w:rsidRDefault="00000000">
            <w:pPr>
              <w:spacing w:before="0"/>
            </w:pPr>
            <w:r>
              <w:rPr>
                <w:color w:val="000000"/>
              </w:rPr>
              <w:t>Large</w:t>
            </w:r>
          </w:p>
        </w:tc>
        <w:tc>
          <w:tcPr>
            <w:tcW w:w="1701" w:type="dxa"/>
            <w:vAlign w:val="center"/>
          </w:tcPr>
          <w:p w14:paraId="14E1E723" w14:textId="77777777" w:rsidR="00DB48E0" w:rsidRDefault="00000000">
            <w:pPr>
              <w:spacing w:before="0"/>
              <w:jc w:val="center"/>
            </w:pPr>
            <w:r>
              <w:rPr>
                <w:color w:val="000000"/>
              </w:rPr>
              <w:t>5%</w:t>
            </w:r>
          </w:p>
        </w:tc>
        <w:tc>
          <w:tcPr>
            <w:tcW w:w="1701" w:type="dxa"/>
            <w:vAlign w:val="center"/>
          </w:tcPr>
          <w:p w14:paraId="396CEE20" w14:textId="77777777" w:rsidR="00DB48E0" w:rsidRDefault="00000000">
            <w:pPr>
              <w:spacing w:before="0"/>
              <w:jc w:val="center"/>
            </w:pPr>
            <w:r>
              <w:rPr>
                <w:color w:val="000000"/>
              </w:rPr>
              <w:t>11%</w:t>
            </w:r>
          </w:p>
        </w:tc>
        <w:tc>
          <w:tcPr>
            <w:tcW w:w="1701" w:type="dxa"/>
            <w:vAlign w:val="center"/>
          </w:tcPr>
          <w:p w14:paraId="22F8153F" w14:textId="77777777" w:rsidR="00DB48E0" w:rsidRDefault="00000000">
            <w:pPr>
              <w:spacing w:before="0"/>
              <w:jc w:val="center"/>
            </w:pPr>
            <w:r>
              <w:rPr>
                <w:color w:val="000000"/>
              </w:rPr>
              <w:t>-18%</w:t>
            </w:r>
          </w:p>
        </w:tc>
      </w:tr>
      <w:tr w:rsidR="00DB48E0" w14:paraId="5D771A0C" w14:textId="77777777">
        <w:trPr>
          <w:trHeight w:val="170"/>
          <w:jc w:val="center"/>
        </w:trPr>
        <w:tc>
          <w:tcPr>
            <w:tcW w:w="1701" w:type="dxa"/>
            <w:vAlign w:val="center"/>
          </w:tcPr>
          <w:p w14:paraId="06DDA363" w14:textId="77777777" w:rsidR="00DB48E0" w:rsidRDefault="00000000">
            <w:pPr>
              <w:spacing w:before="0"/>
            </w:pPr>
            <w:proofErr w:type="spellStart"/>
            <w:r>
              <w:rPr>
                <w:color w:val="000000"/>
              </w:rPr>
              <w:t>Market</w:t>
            </w:r>
            <w:proofErr w:type="spellEnd"/>
          </w:p>
        </w:tc>
        <w:tc>
          <w:tcPr>
            <w:tcW w:w="1701" w:type="dxa"/>
            <w:vAlign w:val="center"/>
          </w:tcPr>
          <w:p w14:paraId="7FD1BC17" w14:textId="77777777" w:rsidR="00DB48E0" w:rsidRDefault="00000000">
            <w:pPr>
              <w:spacing w:before="0"/>
              <w:jc w:val="center"/>
              <w:rPr>
                <w:color w:val="000000"/>
              </w:rPr>
            </w:pPr>
            <w:r>
              <w:rPr>
                <w:color w:val="000000"/>
              </w:rPr>
              <w:t>5%</w:t>
            </w:r>
          </w:p>
        </w:tc>
        <w:tc>
          <w:tcPr>
            <w:tcW w:w="1701" w:type="dxa"/>
            <w:vAlign w:val="center"/>
          </w:tcPr>
          <w:p w14:paraId="2C29C83A" w14:textId="77777777" w:rsidR="00DB48E0" w:rsidRDefault="00000000">
            <w:pPr>
              <w:spacing w:before="0"/>
              <w:jc w:val="center"/>
              <w:rPr>
                <w:color w:val="000000"/>
              </w:rPr>
            </w:pPr>
            <w:r>
              <w:rPr>
                <w:color w:val="000000"/>
              </w:rPr>
              <w:t>11%</w:t>
            </w:r>
          </w:p>
        </w:tc>
        <w:tc>
          <w:tcPr>
            <w:tcW w:w="1701" w:type="dxa"/>
            <w:vAlign w:val="center"/>
          </w:tcPr>
          <w:p w14:paraId="59F314F0" w14:textId="77777777" w:rsidR="00DB48E0" w:rsidRDefault="00000000">
            <w:pPr>
              <w:spacing w:before="0"/>
              <w:jc w:val="center"/>
              <w:rPr>
                <w:color w:val="000000"/>
              </w:rPr>
            </w:pPr>
            <w:r>
              <w:rPr>
                <w:color w:val="000000"/>
              </w:rPr>
              <w:t>-18%</w:t>
            </w:r>
          </w:p>
        </w:tc>
      </w:tr>
      <w:tr w:rsidR="00DB48E0" w14:paraId="5C911337" w14:textId="77777777">
        <w:trPr>
          <w:trHeight w:val="170"/>
          <w:jc w:val="center"/>
        </w:trPr>
        <w:tc>
          <w:tcPr>
            <w:tcW w:w="1701" w:type="dxa"/>
            <w:tcBorders>
              <w:bottom w:val="single" w:sz="4" w:space="0" w:color="000000"/>
            </w:tcBorders>
            <w:vAlign w:val="center"/>
          </w:tcPr>
          <w:p w14:paraId="3D2F168D" w14:textId="77777777" w:rsidR="00DB48E0" w:rsidRDefault="00000000">
            <w:pPr>
              <w:spacing w:before="0"/>
            </w:pPr>
            <w:r>
              <w:rPr>
                <w:color w:val="000000"/>
              </w:rPr>
              <w:t>Value</w:t>
            </w:r>
          </w:p>
        </w:tc>
        <w:tc>
          <w:tcPr>
            <w:tcW w:w="1701" w:type="dxa"/>
            <w:tcBorders>
              <w:bottom w:val="single" w:sz="4" w:space="0" w:color="000000"/>
            </w:tcBorders>
            <w:vAlign w:val="center"/>
          </w:tcPr>
          <w:p w14:paraId="5280F10B" w14:textId="77777777" w:rsidR="00DB48E0" w:rsidRDefault="00000000">
            <w:pPr>
              <w:spacing w:before="0"/>
              <w:jc w:val="center"/>
              <w:rPr>
                <w:color w:val="000000"/>
              </w:rPr>
            </w:pPr>
            <w:r>
              <w:rPr>
                <w:color w:val="000000"/>
              </w:rPr>
              <w:t>3%</w:t>
            </w:r>
          </w:p>
        </w:tc>
        <w:tc>
          <w:tcPr>
            <w:tcW w:w="1701" w:type="dxa"/>
            <w:tcBorders>
              <w:bottom w:val="single" w:sz="4" w:space="0" w:color="000000"/>
            </w:tcBorders>
            <w:vAlign w:val="center"/>
          </w:tcPr>
          <w:p w14:paraId="37AC1A53" w14:textId="77777777" w:rsidR="00DB48E0" w:rsidRDefault="00000000">
            <w:pPr>
              <w:spacing w:before="0"/>
              <w:jc w:val="center"/>
              <w:rPr>
                <w:color w:val="000000"/>
              </w:rPr>
            </w:pPr>
            <w:r>
              <w:rPr>
                <w:color w:val="000000"/>
              </w:rPr>
              <w:t>13%</w:t>
            </w:r>
          </w:p>
        </w:tc>
        <w:tc>
          <w:tcPr>
            <w:tcW w:w="1701" w:type="dxa"/>
            <w:tcBorders>
              <w:bottom w:val="single" w:sz="4" w:space="0" w:color="000000"/>
            </w:tcBorders>
            <w:vAlign w:val="center"/>
          </w:tcPr>
          <w:p w14:paraId="607AA822" w14:textId="77777777" w:rsidR="00DB48E0" w:rsidRDefault="00000000">
            <w:pPr>
              <w:spacing w:before="0"/>
              <w:jc w:val="center"/>
              <w:rPr>
                <w:color w:val="000000"/>
              </w:rPr>
            </w:pPr>
            <w:r>
              <w:rPr>
                <w:color w:val="000000"/>
              </w:rPr>
              <w:t>-24%</w:t>
            </w:r>
          </w:p>
        </w:tc>
      </w:tr>
    </w:tbl>
    <w:p w14:paraId="449B1047" w14:textId="77777777" w:rsidR="00DB48E0" w:rsidRDefault="00000000">
      <w:pPr>
        <w:spacing w:after="240"/>
        <w:rPr>
          <w:color w:val="000000"/>
          <w:sz w:val="22"/>
          <w:szCs w:val="22"/>
        </w:rPr>
      </w:pPr>
      <w:r>
        <w:rPr>
          <w:color w:val="000000"/>
        </w:rPr>
        <w:t>Source : auteurs, mars 2025.</w:t>
      </w:r>
    </w:p>
    <w:p w14:paraId="0BCC51D5" w14:textId="77777777" w:rsidR="00DB48E0" w:rsidRDefault="00000000">
      <w:r>
        <w:t xml:space="preserve">Les performances annuelles sur cette période sont globalement positives, bien que modérées par rapport aux années précédentes. Les Small Caps (10 %) continuent de surperformer, reflétant leur potentiel de croissance dans un contexte de reprise et d’expansion économique. La stratégie Momentum (9 %) a également bien performé, captant les tendances haussières du marché. Les styles </w:t>
      </w:r>
      <w:proofErr w:type="spellStart"/>
      <w:r>
        <w:t>Growth</w:t>
      </w:r>
      <w:proofErr w:type="spellEnd"/>
      <w:r>
        <w:t xml:space="preserve"> (8 %) et </w:t>
      </w:r>
      <w:proofErr w:type="spellStart"/>
      <w:r>
        <w:t>Quality</w:t>
      </w:r>
      <w:proofErr w:type="spellEnd"/>
      <w:r>
        <w:t xml:space="preserve"> (8 %) ont affiché des rendements similaires, montrant une préférence des investisseurs pour les entreprises en croissance et celles ayant des fondamentaux solides. Les actions à faible volatilité ont offert une performance stable (7%), ce qui est cohérent avec leur objectif de minimiser les fluctuations. Les Large Caps (5 %) et la Value (3 %) ont sous-performé, indiquant une moindre attractivité des grandes capitalisations et des titres sous-évalués dans ce contexte.</w:t>
      </w:r>
    </w:p>
    <w:p w14:paraId="386C0A48" w14:textId="77777777" w:rsidR="00DB48E0" w:rsidRDefault="00000000">
      <w:r>
        <w:t xml:space="preserve">Les volatilités annualisées sont relativement stables, oscillant autour de 9 % à 13 %, ce qui reflète un marché plus stable par rapport à la période précédente. Les stratégies Low </w:t>
      </w:r>
      <w:proofErr w:type="spellStart"/>
      <w:r>
        <w:t>Volatility</w:t>
      </w:r>
      <w:proofErr w:type="spellEnd"/>
      <w:r>
        <w:t xml:space="preserve"> (9%) et </w:t>
      </w:r>
      <w:proofErr w:type="spellStart"/>
      <w:r>
        <w:t>Quality</w:t>
      </w:r>
      <w:proofErr w:type="spellEnd"/>
      <w:r>
        <w:t xml:space="preserve"> (11 %) affichent des volatilités plus faibles, conformément à leur nature défensive. Les Small Caps (13 %) et la Value (13 %) restent les plus volatiles, montrant leur sensibilité aux fluctuations du marché. </w:t>
      </w:r>
    </w:p>
    <w:p w14:paraId="23D344F3" w14:textId="77777777" w:rsidR="00DB48E0" w:rsidRDefault="00000000">
      <w:r>
        <w:t xml:space="preserve">Le maximum </w:t>
      </w:r>
      <w:proofErr w:type="spellStart"/>
      <w:r>
        <w:t>drawdown</w:t>
      </w:r>
      <w:proofErr w:type="spellEnd"/>
      <w:r>
        <w:t xml:space="preserve"> est modéré pour la plupart des stratégies, avec des pertes maximales allant de -12 % pour </w:t>
      </w:r>
      <w:proofErr w:type="spellStart"/>
      <w:r>
        <w:t>Quality</w:t>
      </w:r>
      <w:proofErr w:type="spellEnd"/>
      <w:r>
        <w:t xml:space="preserve"> à -24 % pour Value. Cela indique que, bien que les marchés aient été plus stables, des corrections significatives ont encore eu lieu, notamment pour les titres sous-évalués et les petites capitalisations.</w:t>
      </w:r>
    </w:p>
    <w:p w14:paraId="7B08DB1E" w14:textId="77777777" w:rsidR="00DB48E0" w:rsidRDefault="00000000">
      <w:r>
        <w:lastRenderedPageBreak/>
        <w:t>Globalement, la période 2013-2019 est caractérisée par une reprise économique modérée, avec des rendements positifs mais des volatilités persistantes, reflétant les défis économiques et politiques de l'époque.</w:t>
      </w:r>
    </w:p>
    <w:p w14:paraId="1DCAFA9F" w14:textId="77777777" w:rsidR="00DB48E0" w:rsidRDefault="00000000">
      <w:pPr>
        <w:pStyle w:val="Titre3"/>
      </w:pPr>
      <w:bookmarkStart w:id="45" w:name="_Toc194078576"/>
      <w:r>
        <w:t>Pandémie de COVID-19 (décembre 2019 – décembre 2021)</w:t>
      </w:r>
      <w:bookmarkEnd w:id="45"/>
    </w:p>
    <w:p w14:paraId="0EFD6ED2" w14:textId="77777777" w:rsidR="00DB48E0" w:rsidRDefault="00000000">
      <w:r>
        <w:t xml:space="preserve">La période de 2020 à 2021 est marquée par la pandémie de COVID-19, qui a </w:t>
      </w:r>
      <w:proofErr w:type="gramStart"/>
      <w:r>
        <w:t>eu</w:t>
      </w:r>
      <w:proofErr w:type="gramEnd"/>
      <w:r>
        <w:t xml:space="preserve"> des répercussions économiques mondiales significatives. Les confinements et les perturbations des chaînes d'approvisionnement ont entraîné une récession économique, suivie d'une reprise soutenue par des politiques monétaires et budgétaires expansionnistes. Les marchés financiers ont connu une volatilité accrue, avec des fluctuations importantes en réponse aux événements liés à la pandémie et aux mesures de relance économique.</w:t>
      </w:r>
    </w:p>
    <w:p w14:paraId="2B912596" w14:textId="6486C7C9" w:rsidR="00DB48E0" w:rsidRDefault="00A27748" w:rsidP="00A27748">
      <w:pPr>
        <w:pStyle w:val="Lgende"/>
        <w:rPr>
          <w:b w:val="0"/>
          <w:color w:val="000000"/>
          <w:sz w:val="22"/>
          <w:szCs w:val="22"/>
        </w:rPr>
      </w:pPr>
      <w:bookmarkStart w:id="46" w:name="_heading=h.j5wthqme715h" w:colFirst="0" w:colLast="0"/>
      <w:bookmarkStart w:id="47" w:name="_Toc194078601"/>
      <w:bookmarkEnd w:id="46"/>
      <w:r>
        <w:t xml:space="preserve">Tableau </w:t>
      </w:r>
      <w:fldSimple w:instr=" SEQ Tableau \* ARABIC ">
        <w:r w:rsidR="004D7D3B">
          <w:rPr>
            <w:noProof/>
          </w:rPr>
          <w:t>11</w:t>
        </w:r>
      </w:fldSimple>
      <w:r>
        <w:rPr>
          <w:color w:val="000000"/>
          <w:sz w:val="22"/>
          <w:szCs w:val="22"/>
        </w:rPr>
        <w:t xml:space="preserve">. </w:t>
      </w:r>
      <w:r>
        <w:rPr>
          <w:color w:val="000000"/>
        </w:rPr>
        <w:t>Indicateurs de performances et de risque des styles pendant la pandémie de COVID-19</w:t>
      </w:r>
      <w:bookmarkEnd w:id="47"/>
    </w:p>
    <w:tbl>
      <w:tblPr>
        <w:tblStyle w:val="a9"/>
        <w:tblW w:w="680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701"/>
        <w:gridCol w:w="1701"/>
        <w:gridCol w:w="1701"/>
        <w:gridCol w:w="1701"/>
      </w:tblGrid>
      <w:tr w:rsidR="00DB48E0" w14:paraId="6B1B7BAF" w14:textId="77777777">
        <w:trPr>
          <w:jc w:val="center"/>
        </w:trPr>
        <w:tc>
          <w:tcPr>
            <w:tcW w:w="1701" w:type="dxa"/>
            <w:tcBorders>
              <w:top w:val="single" w:sz="4" w:space="0" w:color="000000"/>
              <w:bottom w:val="single" w:sz="4" w:space="0" w:color="000000"/>
            </w:tcBorders>
            <w:vAlign w:val="center"/>
          </w:tcPr>
          <w:p w14:paraId="7A5BC747" w14:textId="77777777" w:rsidR="00DB48E0" w:rsidRDefault="00000000">
            <w:pPr>
              <w:jc w:val="left"/>
            </w:pPr>
            <w:r>
              <w:t>Styles d’investissement</w:t>
            </w:r>
          </w:p>
        </w:tc>
        <w:tc>
          <w:tcPr>
            <w:tcW w:w="1701" w:type="dxa"/>
            <w:tcBorders>
              <w:top w:val="single" w:sz="4" w:space="0" w:color="000000"/>
              <w:bottom w:val="single" w:sz="4" w:space="0" w:color="000000"/>
            </w:tcBorders>
            <w:vAlign w:val="center"/>
          </w:tcPr>
          <w:p w14:paraId="2DF8DC31" w14:textId="77777777" w:rsidR="00DB48E0" w:rsidRDefault="00000000">
            <w:pPr>
              <w:jc w:val="center"/>
            </w:pPr>
            <w:r>
              <w:t>Rentabilité annuelle</w:t>
            </w:r>
          </w:p>
        </w:tc>
        <w:tc>
          <w:tcPr>
            <w:tcW w:w="1701" w:type="dxa"/>
            <w:tcBorders>
              <w:top w:val="single" w:sz="4" w:space="0" w:color="000000"/>
              <w:bottom w:val="single" w:sz="4" w:space="0" w:color="000000"/>
            </w:tcBorders>
            <w:vAlign w:val="center"/>
          </w:tcPr>
          <w:p w14:paraId="3F23FEC5" w14:textId="77777777" w:rsidR="00DB48E0" w:rsidRDefault="00000000">
            <w:pPr>
              <w:jc w:val="center"/>
            </w:pPr>
            <w:r>
              <w:t>Volatilité annuelle</w:t>
            </w:r>
          </w:p>
        </w:tc>
        <w:tc>
          <w:tcPr>
            <w:tcW w:w="1701" w:type="dxa"/>
            <w:tcBorders>
              <w:top w:val="single" w:sz="4" w:space="0" w:color="000000"/>
              <w:bottom w:val="single" w:sz="4" w:space="0" w:color="000000"/>
            </w:tcBorders>
            <w:vAlign w:val="center"/>
          </w:tcPr>
          <w:p w14:paraId="62F1A388" w14:textId="77777777" w:rsidR="00DB48E0" w:rsidRDefault="00000000">
            <w:pPr>
              <w:jc w:val="center"/>
            </w:pPr>
            <w:r>
              <w:t xml:space="preserve">Max </w:t>
            </w:r>
            <w:proofErr w:type="spellStart"/>
            <w:r>
              <w:t>drawdown</w:t>
            </w:r>
            <w:proofErr w:type="spellEnd"/>
          </w:p>
        </w:tc>
      </w:tr>
      <w:tr w:rsidR="00DB48E0" w14:paraId="75D7AB47" w14:textId="77777777">
        <w:trPr>
          <w:trHeight w:val="170"/>
          <w:jc w:val="center"/>
        </w:trPr>
        <w:tc>
          <w:tcPr>
            <w:tcW w:w="1701" w:type="dxa"/>
            <w:tcBorders>
              <w:top w:val="single" w:sz="4" w:space="0" w:color="000000"/>
            </w:tcBorders>
            <w:vAlign w:val="center"/>
          </w:tcPr>
          <w:p w14:paraId="1864DC44" w14:textId="77777777" w:rsidR="00DB48E0" w:rsidRDefault="00000000">
            <w:proofErr w:type="spellStart"/>
            <w:r>
              <w:rPr>
                <w:color w:val="000000"/>
              </w:rPr>
              <w:t>Growth</w:t>
            </w:r>
            <w:proofErr w:type="spellEnd"/>
          </w:p>
        </w:tc>
        <w:tc>
          <w:tcPr>
            <w:tcW w:w="1701" w:type="dxa"/>
            <w:tcBorders>
              <w:top w:val="single" w:sz="4" w:space="0" w:color="000000"/>
            </w:tcBorders>
            <w:vAlign w:val="center"/>
          </w:tcPr>
          <w:p w14:paraId="7062E18F" w14:textId="77777777" w:rsidR="00DB48E0" w:rsidRDefault="00000000">
            <w:pPr>
              <w:jc w:val="center"/>
              <w:rPr>
                <w:color w:val="000000"/>
              </w:rPr>
            </w:pPr>
            <w:r>
              <w:rPr>
                <w:color w:val="000000"/>
              </w:rPr>
              <w:t>15%</w:t>
            </w:r>
          </w:p>
        </w:tc>
        <w:tc>
          <w:tcPr>
            <w:tcW w:w="1701" w:type="dxa"/>
            <w:tcBorders>
              <w:top w:val="single" w:sz="4" w:space="0" w:color="000000"/>
            </w:tcBorders>
            <w:vAlign w:val="center"/>
          </w:tcPr>
          <w:p w14:paraId="1C742862" w14:textId="77777777" w:rsidR="00DB48E0" w:rsidRDefault="00000000">
            <w:pPr>
              <w:jc w:val="center"/>
              <w:rPr>
                <w:color w:val="000000"/>
              </w:rPr>
            </w:pPr>
            <w:r>
              <w:rPr>
                <w:color w:val="000000"/>
              </w:rPr>
              <w:t>15%</w:t>
            </w:r>
          </w:p>
        </w:tc>
        <w:tc>
          <w:tcPr>
            <w:tcW w:w="1701" w:type="dxa"/>
            <w:tcBorders>
              <w:top w:val="single" w:sz="4" w:space="0" w:color="000000"/>
            </w:tcBorders>
            <w:vAlign w:val="center"/>
          </w:tcPr>
          <w:p w14:paraId="2F3DEDC7" w14:textId="77777777" w:rsidR="00DB48E0" w:rsidRDefault="00000000">
            <w:pPr>
              <w:jc w:val="center"/>
              <w:rPr>
                <w:color w:val="000000"/>
              </w:rPr>
            </w:pPr>
            <w:r>
              <w:rPr>
                <w:color w:val="000000"/>
              </w:rPr>
              <w:t>-17%</w:t>
            </w:r>
          </w:p>
        </w:tc>
      </w:tr>
      <w:tr w:rsidR="00DB48E0" w14:paraId="69C0FCDA" w14:textId="77777777">
        <w:trPr>
          <w:trHeight w:val="170"/>
          <w:jc w:val="center"/>
        </w:trPr>
        <w:tc>
          <w:tcPr>
            <w:tcW w:w="1701" w:type="dxa"/>
            <w:vAlign w:val="center"/>
          </w:tcPr>
          <w:p w14:paraId="6DD2C7A3" w14:textId="77777777" w:rsidR="00DB48E0" w:rsidRDefault="00000000">
            <w:pPr>
              <w:spacing w:before="0"/>
            </w:pPr>
            <w:r>
              <w:rPr>
                <w:color w:val="000000"/>
              </w:rPr>
              <w:t>Momentum</w:t>
            </w:r>
          </w:p>
        </w:tc>
        <w:tc>
          <w:tcPr>
            <w:tcW w:w="1701" w:type="dxa"/>
            <w:vAlign w:val="center"/>
          </w:tcPr>
          <w:p w14:paraId="4A41BA5D" w14:textId="77777777" w:rsidR="00DB48E0" w:rsidRDefault="00000000">
            <w:pPr>
              <w:spacing w:before="0"/>
              <w:jc w:val="center"/>
              <w:rPr>
                <w:color w:val="000000"/>
              </w:rPr>
            </w:pPr>
            <w:r>
              <w:rPr>
                <w:color w:val="000000"/>
              </w:rPr>
              <w:t>15%</w:t>
            </w:r>
          </w:p>
        </w:tc>
        <w:tc>
          <w:tcPr>
            <w:tcW w:w="1701" w:type="dxa"/>
            <w:vAlign w:val="center"/>
          </w:tcPr>
          <w:p w14:paraId="56976F41" w14:textId="77777777" w:rsidR="00DB48E0" w:rsidRDefault="00000000">
            <w:pPr>
              <w:spacing w:before="0"/>
              <w:jc w:val="center"/>
              <w:rPr>
                <w:color w:val="000000"/>
              </w:rPr>
            </w:pPr>
            <w:r>
              <w:rPr>
                <w:color w:val="000000"/>
              </w:rPr>
              <w:t>14%</w:t>
            </w:r>
          </w:p>
        </w:tc>
        <w:tc>
          <w:tcPr>
            <w:tcW w:w="1701" w:type="dxa"/>
            <w:vAlign w:val="center"/>
          </w:tcPr>
          <w:p w14:paraId="0A93F8EB" w14:textId="77777777" w:rsidR="00DB48E0" w:rsidRDefault="00000000">
            <w:pPr>
              <w:spacing w:before="0"/>
              <w:jc w:val="center"/>
              <w:rPr>
                <w:color w:val="000000"/>
              </w:rPr>
            </w:pPr>
            <w:r>
              <w:rPr>
                <w:color w:val="000000"/>
              </w:rPr>
              <w:t>-15%</w:t>
            </w:r>
          </w:p>
        </w:tc>
      </w:tr>
      <w:tr w:rsidR="00DB48E0" w14:paraId="6BAC0B62" w14:textId="77777777">
        <w:trPr>
          <w:trHeight w:val="170"/>
          <w:jc w:val="center"/>
        </w:trPr>
        <w:tc>
          <w:tcPr>
            <w:tcW w:w="1701" w:type="dxa"/>
            <w:vAlign w:val="center"/>
          </w:tcPr>
          <w:p w14:paraId="2BB11ADA" w14:textId="77777777" w:rsidR="00DB48E0" w:rsidRDefault="00000000">
            <w:pPr>
              <w:spacing w:before="0"/>
            </w:pPr>
            <w:proofErr w:type="spellStart"/>
            <w:r>
              <w:rPr>
                <w:color w:val="000000"/>
              </w:rPr>
              <w:t>Quality</w:t>
            </w:r>
            <w:proofErr w:type="spellEnd"/>
          </w:p>
        </w:tc>
        <w:tc>
          <w:tcPr>
            <w:tcW w:w="1701" w:type="dxa"/>
            <w:vAlign w:val="center"/>
          </w:tcPr>
          <w:p w14:paraId="445FE700" w14:textId="77777777" w:rsidR="00DB48E0" w:rsidRDefault="00000000">
            <w:pPr>
              <w:spacing w:before="0"/>
              <w:jc w:val="center"/>
              <w:rPr>
                <w:color w:val="000000"/>
              </w:rPr>
            </w:pPr>
            <w:r>
              <w:rPr>
                <w:color w:val="000000"/>
              </w:rPr>
              <w:t>14%</w:t>
            </w:r>
          </w:p>
        </w:tc>
        <w:tc>
          <w:tcPr>
            <w:tcW w:w="1701" w:type="dxa"/>
            <w:vAlign w:val="center"/>
          </w:tcPr>
          <w:p w14:paraId="2E2DC19E" w14:textId="77777777" w:rsidR="00DB48E0" w:rsidRDefault="00000000">
            <w:pPr>
              <w:spacing w:before="0"/>
              <w:jc w:val="center"/>
              <w:rPr>
                <w:color w:val="000000"/>
              </w:rPr>
            </w:pPr>
            <w:r>
              <w:rPr>
                <w:color w:val="000000"/>
              </w:rPr>
              <w:t>16%</w:t>
            </w:r>
          </w:p>
        </w:tc>
        <w:tc>
          <w:tcPr>
            <w:tcW w:w="1701" w:type="dxa"/>
            <w:vAlign w:val="center"/>
          </w:tcPr>
          <w:p w14:paraId="2C69A357" w14:textId="77777777" w:rsidR="00DB48E0" w:rsidRDefault="00000000">
            <w:pPr>
              <w:spacing w:before="0"/>
              <w:jc w:val="center"/>
              <w:rPr>
                <w:color w:val="000000"/>
              </w:rPr>
            </w:pPr>
            <w:r>
              <w:rPr>
                <w:color w:val="000000"/>
              </w:rPr>
              <w:t>-17%</w:t>
            </w:r>
          </w:p>
        </w:tc>
      </w:tr>
      <w:tr w:rsidR="00DB48E0" w14:paraId="0599F0A1" w14:textId="77777777">
        <w:trPr>
          <w:trHeight w:val="170"/>
          <w:jc w:val="center"/>
        </w:trPr>
        <w:tc>
          <w:tcPr>
            <w:tcW w:w="1701" w:type="dxa"/>
            <w:vAlign w:val="center"/>
          </w:tcPr>
          <w:p w14:paraId="423D9315" w14:textId="77777777" w:rsidR="00DB48E0" w:rsidRDefault="00000000">
            <w:pPr>
              <w:spacing w:before="0"/>
            </w:pPr>
            <w:r>
              <w:rPr>
                <w:color w:val="000000"/>
              </w:rPr>
              <w:t>Small</w:t>
            </w:r>
          </w:p>
        </w:tc>
        <w:tc>
          <w:tcPr>
            <w:tcW w:w="1701" w:type="dxa"/>
            <w:vAlign w:val="center"/>
          </w:tcPr>
          <w:p w14:paraId="4F40566F" w14:textId="77777777" w:rsidR="00DB48E0" w:rsidRDefault="00000000">
            <w:pPr>
              <w:spacing w:before="0"/>
              <w:jc w:val="center"/>
              <w:rPr>
                <w:color w:val="000000"/>
              </w:rPr>
            </w:pPr>
            <w:r>
              <w:rPr>
                <w:color w:val="000000"/>
              </w:rPr>
              <w:t>12%</w:t>
            </w:r>
          </w:p>
        </w:tc>
        <w:tc>
          <w:tcPr>
            <w:tcW w:w="1701" w:type="dxa"/>
            <w:vAlign w:val="center"/>
          </w:tcPr>
          <w:p w14:paraId="7240B6F0" w14:textId="77777777" w:rsidR="00DB48E0" w:rsidRDefault="00000000">
            <w:pPr>
              <w:spacing w:before="0"/>
              <w:jc w:val="center"/>
              <w:rPr>
                <w:color w:val="000000"/>
              </w:rPr>
            </w:pPr>
            <w:r>
              <w:rPr>
                <w:color w:val="000000"/>
              </w:rPr>
              <w:t>25%</w:t>
            </w:r>
          </w:p>
        </w:tc>
        <w:tc>
          <w:tcPr>
            <w:tcW w:w="1701" w:type="dxa"/>
            <w:vAlign w:val="center"/>
          </w:tcPr>
          <w:p w14:paraId="37B7147E" w14:textId="77777777" w:rsidR="00DB48E0" w:rsidRDefault="00000000">
            <w:pPr>
              <w:spacing w:before="0"/>
              <w:jc w:val="center"/>
              <w:rPr>
                <w:color w:val="000000"/>
              </w:rPr>
            </w:pPr>
            <w:r>
              <w:rPr>
                <w:color w:val="000000"/>
              </w:rPr>
              <w:t>-28%</w:t>
            </w:r>
          </w:p>
        </w:tc>
      </w:tr>
      <w:tr w:rsidR="00DB48E0" w14:paraId="1CBD09F5" w14:textId="77777777">
        <w:trPr>
          <w:trHeight w:val="170"/>
          <w:jc w:val="center"/>
        </w:trPr>
        <w:tc>
          <w:tcPr>
            <w:tcW w:w="1701" w:type="dxa"/>
            <w:vAlign w:val="center"/>
          </w:tcPr>
          <w:p w14:paraId="7DB11592" w14:textId="77777777" w:rsidR="00DB48E0" w:rsidRDefault="00000000">
            <w:pPr>
              <w:spacing w:before="0"/>
            </w:pPr>
            <w:proofErr w:type="spellStart"/>
            <w:r>
              <w:rPr>
                <w:color w:val="000000"/>
              </w:rPr>
              <w:t>Market</w:t>
            </w:r>
            <w:proofErr w:type="spellEnd"/>
          </w:p>
        </w:tc>
        <w:tc>
          <w:tcPr>
            <w:tcW w:w="1701" w:type="dxa"/>
            <w:vAlign w:val="center"/>
          </w:tcPr>
          <w:p w14:paraId="0D956E04" w14:textId="77777777" w:rsidR="00DB48E0" w:rsidRDefault="00000000">
            <w:pPr>
              <w:spacing w:before="0"/>
              <w:jc w:val="center"/>
              <w:rPr>
                <w:color w:val="000000"/>
              </w:rPr>
            </w:pPr>
            <w:r>
              <w:rPr>
                <w:color w:val="000000"/>
              </w:rPr>
              <w:t>8%</w:t>
            </w:r>
          </w:p>
        </w:tc>
        <w:tc>
          <w:tcPr>
            <w:tcW w:w="1701" w:type="dxa"/>
            <w:vAlign w:val="center"/>
          </w:tcPr>
          <w:p w14:paraId="38AA3930" w14:textId="77777777" w:rsidR="00DB48E0" w:rsidRDefault="00000000">
            <w:pPr>
              <w:spacing w:before="0"/>
              <w:jc w:val="center"/>
              <w:rPr>
                <w:color w:val="000000"/>
              </w:rPr>
            </w:pPr>
            <w:r>
              <w:rPr>
                <w:color w:val="000000"/>
              </w:rPr>
              <w:t>19%</w:t>
            </w:r>
          </w:p>
        </w:tc>
        <w:tc>
          <w:tcPr>
            <w:tcW w:w="1701" w:type="dxa"/>
            <w:vAlign w:val="center"/>
          </w:tcPr>
          <w:p w14:paraId="7560C6F1" w14:textId="77777777" w:rsidR="00DB48E0" w:rsidRDefault="00000000">
            <w:pPr>
              <w:spacing w:before="0"/>
              <w:jc w:val="center"/>
              <w:rPr>
                <w:color w:val="000000"/>
              </w:rPr>
            </w:pPr>
            <w:r>
              <w:rPr>
                <w:color w:val="000000"/>
              </w:rPr>
              <w:t>-22%</w:t>
            </w:r>
          </w:p>
        </w:tc>
      </w:tr>
      <w:tr w:rsidR="00DB48E0" w14:paraId="083A244C" w14:textId="77777777">
        <w:trPr>
          <w:trHeight w:val="170"/>
          <w:jc w:val="center"/>
        </w:trPr>
        <w:tc>
          <w:tcPr>
            <w:tcW w:w="1701" w:type="dxa"/>
            <w:vAlign w:val="center"/>
          </w:tcPr>
          <w:p w14:paraId="1B33BFF7" w14:textId="77777777" w:rsidR="00DB48E0" w:rsidRDefault="00000000">
            <w:pPr>
              <w:spacing w:before="0"/>
            </w:pPr>
            <w:r>
              <w:rPr>
                <w:color w:val="000000"/>
              </w:rPr>
              <w:t>Large</w:t>
            </w:r>
          </w:p>
        </w:tc>
        <w:tc>
          <w:tcPr>
            <w:tcW w:w="1701" w:type="dxa"/>
            <w:vAlign w:val="center"/>
          </w:tcPr>
          <w:p w14:paraId="2B5836E8" w14:textId="77777777" w:rsidR="00DB48E0" w:rsidRDefault="00000000">
            <w:pPr>
              <w:spacing w:before="0"/>
              <w:jc w:val="center"/>
            </w:pPr>
            <w:r>
              <w:rPr>
                <w:color w:val="000000"/>
              </w:rPr>
              <w:t>7%</w:t>
            </w:r>
          </w:p>
        </w:tc>
        <w:tc>
          <w:tcPr>
            <w:tcW w:w="1701" w:type="dxa"/>
            <w:vAlign w:val="center"/>
          </w:tcPr>
          <w:p w14:paraId="723F2364" w14:textId="77777777" w:rsidR="00DB48E0" w:rsidRDefault="00000000">
            <w:pPr>
              <w:spacing w:before="0"/>
              <w:jc w:val="center"/>
            </w:pPr>
            <w:r>
              <w:rPr>
                <w:color w:val="000000"/>
              </w:rPr>
              <w:t>19%</w:t>
            </w:r>
          </w:p>
        </w:tc>
        <w:tc>
          <w:tcPr>
            <w:tcW w:w="1701" w:type="dxa"/>
            <w:vAlign w:val="center"/>
          </w:tcPr>
          <w:p w14:paraId="7B3DAD9C" w14:textId="77777777" w:rsidR="00DB48E0" w:rsidRDefault="00000000">
            <w:pPr>
              <w:spacing w:before="0"/>
              <w:jc w:val="center"/>
            </w:pPr>
            <w:r>
              <w:rPr>
                <w:color w:val="000000"/>
              </w:rPr>
              <w:t>-21%</w:t>
            </w:r>
          </w:p>
        </w:tc>
      </w:tr>
      <w:tr w:rsidR="00DB48E0" w14:paraId="07999BB3" w14:textId="77777777">
        <w:trPr>
          <w:trHeight w:val="170"/>
          <w:jc w:val="center"/>
        </w:trPr>
        <w:tc>
          <w:tcPr>
            <w:tcW w:w="1701" w:type="dxa"/>
            <w:vAlign w:val="center"/>
          </w:tcPr>
          <w:p w14:paraId="398F3D5E" w14:textId="77777777" w:rsidR="00DB48E0" w:rsidRDefault="00000000">
            <w:pPr>
              <w:spacing w:before="0"/>
            </w:pPr>
            <w:r>
              <w:rPr>
                <w:color w:val="000000"/>
              </w:rPr>
              <w:t>Low Vol</w:t>
            </w:r>
          </w:p>
        </w:tc>
        <w:tc>
          <w:tcPr>
            <w:tcW w:w="1701" w:type="dxa"/>
            <w:vAlign w:val="center"/>
          </w:tcPr>
          <w:p w14:paraId="47321D1C" w14:textId="77777777" w:rsidR="00DB48E0" w:rsidRDefault="00000000">
            <w:pPr>
              <w:spacing w:before="0"/>
              <w:jc w:val="center"/>
              <w:rPr>
                <w:color w:val="000000"/>
              </w:rPr>
            </w:pPr>
            <w:r>
              <w:rPr>
                <w:color w:val="000000"/>
              </w:rPr>
              <w:t>6%</w:t>
            </w:r>
          </w:p>
        </w:tc>
        <w:tc>
          <w:tcPr>
            <w:tcW w:w="1701" w:type="dxa"/>
            <w:vAlign w:val="center"/>
          </w:tcPr>
          <w:p w14:paraId="68938C78" w14:textId="77777777" w:rsidR="00DB48E0" w:rsidRDefault="00000000">
            <w:pPr>
              <w:spacing w:before="0"/>
              <w:jc w:val="center"/>
              <w:rPr>
                <w:color w:val="000000"/>
              </w:rPr>
            </w:pPr>
            <w:r>
              <w:rPr>
                <w:color w:val="000000"/>
              </w:rPr>
              <w:t>15%</w:t>
            </w:r>
          </w:p>
        </w:tc>
        <w:tc>
          <w:tcPr>
            <w:tcW w:w="1701" w:type="dxa"/>
            <w:vAlign w:val="center"/>
          </w:tcPr>
          <w:p w14:paraId="7F80B480" w14:textId="77777777" w:rsidR="00DB48E0" w:rsidRDefault="00000000">
            <w:pPr>
              <w:spacing w:before="0"/>
              <w:jc w:val="center"/>
              <w:rPr>
                <w:color w:val="000000"/>
              </w:rPr>
            </w:pPr>
            <w:r>
              <w:rPr>
                <w:color w:val="000000"/>
              </w:rPr>
              <w:t>-18%</w:t>
            </w:r>
          </w:p>
        </w:tc>
      </w:tr>
      <w:tr w:rsidR="00DB48E0" w14:paraId="0F2D29CA" w14:textId="77777777">
        <w:trPr>
          <w:trHeight w:val="170"/>
          <w:jc w:val="center"/>
        </w:trPr>
        <w:tc>
          <w:tcPr>
            <w:tcW w:w="1701" w:type="dxa"/>
            <w:tcBorders>
              <w:bottom w:val="single" w:sz="4" w:space="0" w:color="000000"/>
            </w:tcBorders>
            <w:vAlign w:val="center"/>
          </w:tcPr>
          <w:p w14:paraId="2AF6C59F" w14:textId="77777777" w:rsidR="00DB48E0" w:rsidRDefault="00000000">
            <w:pPr>
              <w:spacing w:before="0"/>
            </w:pPr>
            <w:r>
              <w:rPr>
                <w:color w:val="000000"/>
              </w:rPr>
              <w:t>Value</w:t>
            </w:r>
          </w:p>
        </w:tc>
        <w:tc>
          <w:tcPr>
            <w:tcW w:w="1701" w:type="dxa"/>
            <w:tcBorders>
              <w:bottom w:val="single" w:sz="4" w:space="0" w:color="000000"/>
            </w:tcBorders>
            <w:vAlign w:val="center"/>
          </w:tcPr>
          <w:p w14:paraId="580822F3" w14:textId="77777777" w:rsidR="00DB48E0" w:rsidRDefault="00000000">
            <w:pPr>
              <w:spacing w:before="0"/>
              <w:jc w:val="center"/>
              <w:rPr>
                <w:color w:val="000000"/>
              </w:rPr>
            </w:pPr>
            <w:r>
              <w:rPr>
                <w:color w:val="000000"/>
              </w:rPr>
              <w:t>0%</w:t>
            </w:r>
          </w:p>
        </w:tc>
        <w:tc>
          <w:tcPr>
            <w:tcW w:w="1701" w:type="dxa"/>
            <w:tcBorders>
              <w:bottom w:val="single" w:sz="4" w:space="0" w:color="000000"/>
            </w:tcBorders>
            <w:vAlign w:val="center"/>
          </w:tcPr>
          <w:p w14:paraId="4B31BB57" w14:textId="77777777" w:rsidR="00DB48E0" w:rsidRDefault="00000000">
            <w:pPr>
              <w:spacing w:before="0"/>
              <w:jc w:val="center"/>
              <w:rPr>
                <w:color w:val="000000"/>
              </w:rPr>
            </w:pPr>
            <w:r>
              <w:rPr>
                <w:color w:val="000000"/>
              </w:rPr>
              <w:t>24%</w:t>
            </w:r>
          </w:p>
        </w:tc>
        <w:tc>
          <w:tcPr>
            <w:tcW w:w="1701" w:type="dxa"/>
            <w:tcBorders>
              <w:bottom w:val="single" w:sz="4" w:space="0" w:color="000000"/>
            </w:tcBorders>
            <w:vAlign w:val="center"/>
          </w:tcPr>
          <w:p w14:paraId="4DECC422" w14:textId="77777777" w:rsidR="00DB48E0" w:rsidRDefault="00000000">
            <w:pPr>
              <w:spacing w:before="0"/>
              <w:jc w:val="center"/>
              <w:rPr>
                <w:color w:val="000000"/>
              </w:rPr>
            </w:pPr>
            <w:r>
              <w:rPr>
                <w:color w:val="000000"/>
              </w:rPr>
              <w:t>-28%</w:t>
            </w:r>
          </w:p>
        </w:tc>
      </w:tr>
    </w:tbl>
    <w:p w14:paraId="52A8F144" w14:textId="77777777" w:rsidR="00DB48E0" w:rsidRDefault="00000000">
      <w:r>
        <w:t>Source : auteurs, mars 2025. </w:t>
      </w:r>
    </w:p>
    <w:p w14:paraId="363C9119" w14:textId="77777777" w:rsidR="00DB48E0" w:rsidRDefault="00000000">
      <w:r>
        <w:t xml:space="preserve">Les performances annuelles sur cette période sont contrastées, reflétant les turbulences économiques. Les stratégies </w:t>
      </w:r>
      <w:proofErr w:type="spellStart"/>
      <w:r>
        <w:t>Growth</w:t>
      </w:r>
      <w:proofErr w:type="spellEnd"/>
      <w:r>
        <w:t xml:space="preserve"> (15 %) et Momentum (15 %) ont surperformé, captant les tendances haussières du marché, notamment dans les secteurs technologiques et de la santé. Les Small Caps (12 %) ont également bien performé, bénéficiant de la reprise économique </w:t>
      </w:r>
      <w:proofErr w:type="spellStart"/>
      <w:r>
        <w:t>post-confinement</w:t>
      </w:r>
      <w:proofErr w:type="spellEnd"/>
      <w:r>
        <w:t>. Les Large Caps (7 %) et les Low Vol (6%) ont affiché des rendements modérés, tandis que la Value (0 %) a sous-performé, indiquant une faible attractivité des titres sous-évalués dans ce contexte incertain.</w:t>
      </w:r>
    </w:p>
    <w:p w14:paraId="4C974C4A" w14:textId="77777777" w:rsidR="00DB48E0" w:rsidRDefault="00000000">
      <w:r>
        <w:t xml:space="preserve">Les volatilités annualisées sont élevées, allant de 11 % à 25 %, ce qui reflète l'incertitude et les fluctuations importantes du marché. Les Small Caps (25 %) et la Value (24 %) sont les plus volatiles, montrant leur sensibilité aux chocs économiques. Les stratégies Momentum (14 %) et </w:t>
      </w:r>
      <w:proofErr w:type="spellStart"/>
      <w:r>
        <w:t>Quality</w:t>
      </w:r>
      <w:proofErr w:type="spellEnd"/>
      <w:r>
        <w:t xml:space="preserve"> (16 %) affichent des volatilités plus faibles, conformément à leur nature plus défensive. Même si la rentabilité des Low Vol est la plus faible, ce style d’investissement a bien joué son rôle de faible volatilité.</w:t>
      </w:r>
    </w:p>
    <w:p w14:paraId="63569569" w14:textId="77777777" w:rsidR="00DB48E0" w:rsidRDefault="00000000">
      <w:r>
        <w:t xml:space="preserve">Le maximum </w:t>
      </w:r>
      <w:proofErr w:type="spellStart"/>
      <w:r>
        <w:t>drawdown</w:t>
      </w:r>
      <w:proofErr w:type="spellEnd"/>
      <w:r>
        <w:t xml:space="preserve"> est significatif pour toutes les stratégies, avec des pertes maximales allant de -15 % pour Momentum à -28 % pour Small Caps et Value. Cela indique que les marchés ont subi des corrections importantes, notamment en réponse aux vagues successives de la pandémie et aux incertitudes économiques.</w:t>
      </w:r>
    </w:p>
    <w:p w14:paraId="0BAED7E1" w14:textId="77777777" w:rsidR="00DB48E0" w:rsidRDefault="00000000">
      <w:r>
        <w:lastRenderedPageBreak/>
        <w:t>Globalement, la période 2020-2022 est caractérisée par une volatilité élevée et des performances contrastées, reflétant les défis économiques posés par la pandémie de COVID-19 et les efforts de relance économique.</w:t>
      </w:r>
    </w:p>
    <w:p w14:paraId="4D9C9A72" w14:textId="77777777" w:rsidR="00DB48E0" w:rsidRDefault="00000000">
      <w:pPr>
        <w:pStyle w:val="Titre3"/>
      </w:pPr>
      <w:bookmarkStart w:id="48" w:name="_Toc194078577"/>
      <w:r>
        <w:t>Ere post-COVID 19 (décembre 2021- décembre 2024)</w:t>
      </w:r>
      <w:bookmarkEnd w:id="48"/>
    </w:p>
    <w:p w14:paraId="0BDDDABD" w14:textId="46E94EF5" w:rsidR="00DB48E0" w:rsidRDefault="00000000">
      <w:r>
        <w:t>La période de 2022 à 202</w:t>
      </w:r>
      <w:r w:rsidR="00201717">
        <w:t>4</w:t>
      </w:r>
      <w:r>
        <w:t xml:space="preserve"> est marquée par des incertitudes économiques persistantes, notamment en raison des répercussions prolongées de la pandémie de COVID-19, des tensions géopolitiques, et des politiques monétaires restrictives visant à contrôler l'inflation. Les marchés financiers ont connu une volatilité accrue, avec des fluctuations importantes en réponse aux événements économiques et politiques mondiaux.</w:t>
      </w:r>
    </w:p>
    <w:p w14:paraId="591D3789" w14:textId="25952B26" w:rsidR="00DB48E0" w:rsidRDefault="00A27748" w:rsidP="00A27748">
      <w:pPr>
        <w:pStyle w:val="Lgende"/>
        <w:rPr>
          <w:b w:val="0"/>
          <w:color w:val="000000"/>
          <w:sz w:val="22"/>
          <w:szCs w:val="22"/>
        </w:rPr>
      </w:pPr>
      <w:bookmarkStart w:id="49" w:name="_heading=h.xuzfpw6w1xpa" w:colFirst="0" w:colLast="0"/>
      <w:bookmarkStart w:id="50" w:name="_Toc194078602"/>
      <w:bookmarkEnd w:id="49"/>
      <w:r>
        <w:t xml:space="preserve">Tableau </w:t>
      </w:r>
      <w:fldSimple w:instr=" SEQ Tableau \* ARABIC ">
        <w:r w:rsidR="004D7D3B">
          <w:rPr>
            <w:noProof/>
          </w:rPr>
          <w:t>12</w:t>
        </w:r>
      </w:fldSimple>
      <w:r>
        <w:rPr>
          <w:color w:val="000000"/>
          <w:sz w:val="22"/>
          <w:szCs w:val="22"/>
        </w:rPr>
        <w:t xml:space="preserve">. </w:t>
      </w:r>
      <w:r>
        <w:rPr>
          <w:color w:val="000000"/>
        </w:rPr>
        <w:t>Indicateurs de performances et de risque des styles pendant l’ère post-COVID 19</w:t>
      </w:r>
      <w:bookmarkEnd w:id="50"/>
    </w:p>
    <w:tbl>
      <w:tblPr>
        <w:tblStyle w:val="aa"/>
        <w:tblW w:w="680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701"/>
        <w:gridCol w:w="1701"/>
        <w:gridCol w:w="1701"/>
        <w:gridCol w:w="1701"/>
      </w:tblGrid>
      <w:tr w:rsidR="00DB48E0" w14:paraId="1A3A8A28" w14:textId="77777777">
        <w:trPr>
          <w:jc w:val="center"/>
        </w:trPr>
        <w:tc>
          <w:tcPr>
            <w:tcW w:w="1701" w:type="dxa"/>
            <w:tcBorders>
              <w:top w:val="single" w:sz="4" w:space="0" w:color="000000"/>
              <w:bottom w:val="single" w:sz="4" w:space="0" w:color="000000"/>
            </w:tcBorders>
            <w:vAlign w:val="center"/>
          </w:tcPr>
          <w:p w14:paraId="50E8696C" w14:textId="77777777" w:rsidR="00DB48E0" w:rsidRDefault="00000000">
            <w:pPr>
              <w:jc w:val="left"/>
            </w:pPr>
            <w:r>
              <w:t>Styles d’investissement</w:t>
            </w:r>
          </w:p>
        </w:tc>
        <w:tc>
          <w:tcPr>
            <w:tcW w:w="1701" w:type="dxa"/>
            <w:tcBorders>
              <w:top w:val="single" w:sz="4" w:space="0" w:color="000000"/>
              <w:bottom w:val="single" w:sz="4" w:space="0" w:color="000000"/>
            </w:tcBorders>
            <w:vAlign w:val="center"/>
          </w:tcPr>
          <w:p w14:paraId="7F21283A" w14:textId="77777777" w:rsidR="00DB48E0" w:rsidRDefault="00000000">
            <w:pPr>
              <w:jc w:val="center"/>
            </w:pPr>
            <w:r>
              <w:t>Rentabilité annuelle</w:t>
            </w:r>
          </w:p>
        </w:tc>
        <w:tc>
          <w:tcPr>
            <w:tcW w:w="1701" w:type="dxa"/>
            <w:tcBorders>
              <w:top w:val="single" w:sz="4" w:space="0" w:color="000000"/>
              <w:bottom w:val="single" w:sz="4" w:space="0" w:color="000000"/>
            </w:tcBorders>
            <w:vAlign w:val="center"/>
          </w:tcPr>
          <w:p w14:paraId="36112AAA" w14:textId="77777777" w:rsidR="00DB48E0" w:rsidRDefault="00000000">
            <w:pPr>
              <w:jc w:val="center"/>
            </w:pPr>
            <w:r>
              <w:t>Volatilité annuelle</w:t>
            </w:r>
          </w:p>
        </w:tc>
        <w:tc>
          <w:tcPr>
            <w:tcW w:w="1701" w:type="dxa"/>
            <w:tcBorders>
              <w:top w:val="single" w:sz="4" w:space="0" w:color="000000"/>
              <w:bottom w:val="single" w:sz="4" w:space="0" w:color="000000"/>
            </w:tcBorders>
            <w:vAlign w:val="center"/>
          </w:tcPr>
          <w:p w14:paraId="4B9E7D52" w14:textId="77777777" w:rsidR="00DB48E0" w:rsidRDefault="00000000">
            <w:pPr>
              <w:jc w:val="center"/>
            </w:pPr>
            <w:r>
              <w:t xml:space="preserve">Max </w:t>
            </w:r>
            <w:proofErr w:type="spellStart"/>
            <w:r>
              <w:t>drawdown</w:t>
            </w:r>
            <w:proofErr w:type="spellEnd"/>
          </w:p>
        </w:tc>
      </w:tr>
      <w:tr w:rsidR="00DB48E0" w14:paraId="4615D925" w14:textId="77777777">
        <w:trPr>
          <w:trHeight w:val="170"/>
          <w:jc w:val="center"/>
        </w:trPr>
        <w:tc>
          <w:tcPr>
            <w:tcW w:w="1701" w:type="dxa"/>
            <w:tcBorders>
              <w:top w:val="single" w:sz="4" w:space="0" w:color="000000"/>
            </w:tcBorders>
            <w:vAlign w:val="center"/>
          </w:tcPr>
          <w:p w14:paraId="52D2F26D" w14:textId="77777777" w:rsidR="00DB48E0" w:rsidRDefault="00000000">
            <w:r>
              <w:rPr>
                <w:color w:val="000000"/>
              </w:rPr>
              <w:t>Value</w:t>
            </w:r>
          </w:p>
        </w:tc>
        <w:tc>
          <w:tcPr>
            <w:tcW w:w="1701" w:type="dxa"/>
            <w:tcBorders>
              <w:top w:val="single" w:sz="4" w:space="0" w:color="000000"/>
            </w:tcBorders>
            <w:vAlign w:val="center"/>
          </w:tcPr>
          <w:p w14:paraId="01AB2DE5" w14:textId="77777777" w:rsidR="00DB48E0" w:rsidRDefault="00000000">
            <w:pPr>
              <w:jc w:val="center"/>
              <w:rPr>
                <w:color w:val="000000"/>
              </w:rPr>
            </w:pPr>
            <w:r>
              <w:rPr>
                <w:color w:val="000000"/>
              </w:rPr>
              <w:t>4%</w:t>
            </w:r>
          </w:p>
        </w:tc>
        <w:tc>
          <w:tcPr>
            <w:tcW w:w="1701" w:type="dxa"/>
            <w:tcBorders>
              <w:top w:val="single" w:sz="4" w:space="0" w:color="000000"/>
            </w:tcBorders>
            <w:vAlign w:val="center"/>
          </w:tcPr>
          <w:p w14:paraId="1F0C6C0E" w14:textId="77777777" w:rsidR="00DB48E0" w:rsidRDefault="00000000">
            <w:pPr>
              <w:jc w:val="center"/>
              <w:rPr>
                <w:color w:val="000000"/>
              </w:rPr>
            </w:pPr>
            <w:r>
              <w:rPr>
                <w:color w:val="000000"/>
              </w:rPr>
              <w:t>13%</w:t>
            </w:r>
          </w:p>
        </w:tc>
        <w:tc>
          <w:tcPr>
            <w:tcW w:w="1701" w:type="dxa"/>
            <w:tcBorders>
              <w:top w:val="single" w:sz="4" w:space="0" w:color="000000"/>
            </w:tcBorders>
            <w:vAlign w:val="center"/>
          </w:tcPr>
          <w:p w14:paraId="3A9A21F7" w14:textId="77777777" w:rsidR="00DB48E0" w:rsidRDefault="00000000">
            <w:pPr>
              <w:jc w:val="center"/>
              <w:rPr>
                <w:color w:val="000000"/>
              </w:rPr>
            </w:pPr>
            <w:r>
              <w:rPr>
                <w:color w:val="000000"/>
              </w:rPr>
              <w:t>-17%</w:t>
            </w:r>
          </w:p>
        </w:tc>
      </w:tr>
      <w:tr w:rsidR="00DB48E0" w14:paraId="0DBF8EF3" w14:textId="77777777">
        <w:trPr>
          <w:trHeight w:val="170"/>
          <w:jc w:val="center"/>
        </w:trPr>
        <w:tc>
          <w:tcPr>
            <w:tcW w:w="1701" w:type="dxa"/>
            <w:vAlign w:val="center"/>
          </w:tcPr>
          <w:p w14:paraId="4F38472B" w14:textId="77777777" w:rsidR="00DB48E0" w:rsidRDefault="00000000">
            <w:pPr>
              <w:spacing w:before="0"/>
            </w:pPr>
            <w:r>
              <w:rPr>
                <w:color w:val="000000"/>
              </w:rPr>
              <w:t>Large</w:t>
            </w:r>
          </w:p>
        </w:tc>
        <w:tc>
          <w:tcPr>
            <w:tcW w:w="1701" w:type="dxa"/>
            <w:vAlign w:val="center"/>
          </w:tcPr>
          <w:p w14:paraId="3D0F1796" w14:textId="77777777" w:rsidR="00DB48E0" w:rsidRDefault="00000000">
            <w:pPr>
              <w:spacing w:before="0"/>
              <w:jc w:val="center"/>
              <w:rPr>
                <w:color w:val="000000"/>
              </w:rPr>
            </w:pPr>
            <w:r>
              <w:rPr>
                <w:color w:val="000000"/>
              </w:rPr>
              <w:t>3%</w:t>
            </w:r>
          </w:p>
        </w:tc>
        <w:tc>
          <w:tcPr>
            <w:tcW w:w="1701" w:type="dxa"/>
            <w:vAlign w:val="center"/>
          </w:tcPr>
          <w:p w14:paraId="07089C9A" w14:textId="77777777" w:rsidR="00DB48E0" w:rsidRDefault="00000000">
            <w:pPr>
              <w:spacing w:before="0"/>
              <w:jc w:val="center"/>
              <w:rPr>
                <w:color w:val="000000"/>
              </w:rPr>
            </w:pPr>
            <w:r>
              <w:rPr>
                <w:color w:val="000000"/>
              </w:rPr>
              <w:t>12%</w:t>
            </w:r>
          </w:p>
        </w:tc>
        <w:tc>
          <w:tcPr>
            <w:tcW w:w="1701" w:type="dxa"/>
            <w:vAlign w:val="center"/>
          </w:tcPr>
          <w:p w14:paraId="706C81E1" w14:textId="77777777" w:rsidR="00DB48E0" w:rsidRDefault="00000000">
            <w:pPr>
              <w:spacing w:before="0"/>
              <w:jc w:val="center"/>
              <w:rPr>
                <w:color w:val="000000"/>
              </w:rPr>
            </w:pPr>
            <w:r>
              <w:rPr>
                <w:color w:val="000000"/>
              </w:rPr>
              <w:t>-15%</w:t>
            </w:r>
          </w:p>
        </w:tc>
      </w:tr>
      <w:tr w:rsidR="00DB48E0" w14:paraId="1C96A2D8" w14:textId="77777777">
        <w:trPr>
          <w:trHeight w:val="170"/>
          <w:jc w:val="center"/>
        </w:trPr>
        <w:tc>
          <w:tcPr>
            <w:tcW w:w="1701" w:type="dxa"/>
            <w:vAlign w:val="center"/>
          </w:tcPr>
          <w:p w14:paraId="08DBBDA6" w14:textId="77777777" w:rsidR="00DB48E0" w:rsidRDefault="00000000">
            <w:pPr>
              <w:spacing w:before="0"/>
            </w:pPr>
            <w:r>
              <w:rPr>
                <w:color w:val="000000"/>
              </w:rPr>
              <w:t>Momentum</w:t>
            </w:r>
          </w:p>
        </w:tc>
        <w:tc>
          <w:tcPr>
            <w:tcW w:w="1701" w:type="dxa"/>
            <w:vAlign w:val="center"/>
          </w:tcPr>
          <w:p w14:paraId="710733B6" w14:textId="77777777" w:rsidR="00DB48E0" w:rsidRDefault="00000000">
            <w:pPr>
              <w:spacing w:before="0"/>
              <w:jc w:val="center"/>
              <w:rPr>
                <w:color w:val="000000"/>
              </w:rPr>
            </w:pPr>
            <w:r>
              <w:rPr>
                <w:color w:val="000000"/>
              </w:rPr>
              <w:t>2%</w:t>
            </w:r>
          </w:p>
        </w:tc>
        <w:tc>
          <w:tcPr>
            <w:tcW w:w="1701" w:type="dxa"/>
            <w:vAlign w:val="center"/>
          </w:tcPr>
          <w:p w14:paraId="3C57C5FA" w14:textId="77777777" w:rsidR="00DB48E0" w:rsidRDefault="00000000">
            <w:pPr>
              <w:spacing w:before="0"/>
              <w:jc w:val="center"/>
              <w:rPr>
                <w:color w:val="000000"/>
              </w:rPr>
            </w:pPr>
            <w:r>
              <w:rPr>
                <w:color w:val="000000"/>
              </w:rPr>
              <w:t>13%</w:t>
            </w:r>
          </w:p>
        </w:tc>
        <w:tc>
          <w:tcPr>
            <w:tcW w:w="1701" w:type="dxa"/>
            <w:vAlign w:val="center"/>
          </w:tcPr>
          <w:p w14:paraId="0E52E137" w14:textId="77777777" w:rsidR="00DB48E0" w:rsidRDefault="00000000">
            <w:pPr>
              <w:spacing w:before="0"/>
              <w:jc w:val="center"/>
              <w:rPr>
                <w:color w:val="000000"/>
              </w:rPr>
            </w:pPr>
            <w:r>
              <w:rPr>
                <w:color w:val="000000"/>
              </w:rPr>
              <w:t>-17%</w:t>
            </w:r>
          </w:p>
        </w:tc>
      </w:tr>
      <w:tr w:rsidR="00DB48E0" w14:paraId="6F94E0D2" w14:textId="77777777">
        <w:trPr>
          <w:trHeight w:val="170"/>
          <w:jc w:val="center"/>
        </w:trPr>
        <w:tc>
          <w:tcPr>
            <w:tcW w:w="1701" w:type="dxa"/>
            <w:vAlign w:val="center"/>
          </w:tcPr>
          <w:p w14:paraId="59F20438" w14:textId="77777777" w:rsidR="00DB48E0" w:rsidRDefault="00000000">
            <w:pPr>
              <w:spacing w:before="0"/>
            </w:pPr>
            <w:proofErr w:type="spellStart"/>
            <w:r>
              <w:rPr>
                <w:color w:val="000000"/>
              </w:rPr>
              <w:t>Market</w:t>
            </w:r>
            <w:proofErr w:type="spellEnd"/>
          </w:p>
        </w:tc>
        <w:tc>
          <w:tcPr>
            <w:tcW w:w="1701" w:type="dxa"/>
            <w:vAlign w:val="center"/>
          </w:tcPr>
          <w:p w14:paraId="3498CAAF" w14:textId="77777777" w:rsidR="00DB48E0" w:rsidRDefault="00000000">
            <w:pPr>
              <w:spacing w:before="0"/>
              <w:jc w:val="center"/>
              <w:rPr>
                <w:color w:val="000000"/>
              </w:rPr>
            </w:pPr>
            <w:r>
              <w:rPr>
                <w:color w:val="000000"/>
              </w:rPr>
              <w:t>2%</w:t>
            </w:r>
          </w:p>
        </w:tc>
        <w:tc>
          <w:tcPr>
            <w:tcW w:w="1701" w:type="dxa"/>
            <w:vAlign w:val="center"/>
          </w:tcPr>
          <w:p w14:paraId="64A47C74" w14:textId="77777777" w:rsidR="00DB48E0" w:rsidRDefault="00000000">
            <w:pPr>
              <w:spacing w:before="0"/>
              <w:jc w:val="center"/>
              <w:rPr>
                <w:color w:val="000000"/>
              </w:rPr>
            </w:pPr>
            <w:r>
              <w:rPr>
                <w:color w:val="000000"/>
              </w:rPr>
              <w:t>13%</w:t>
            </w:r>
          </w:p>
        </w:tc>
        <w:tc>
          <w:tcPr>
            <w:tcW w:w="1701" w:type="dxa"/>
            <w:vAlign w:val="center"/>
          </w:tcPr>
          <w:p w14:paraId="15476907" w14:textId="77777777" w:rsidR="00DB48E0" w:rsidRDefault="00000000">
            <w:pPr>
              <w:spacing w:before="0"/>
              <w:jc w:val="center"/>
              <w:rPr>
                <w:color w:val="000000"/>
              </w:rPr>
            </w:pPr>
            <w:r>
              <w:rPr>
                <w:color w:val="000000"/>
              </w:rPr>
              <w:t>-17%</w:t>
            </w:r>
          </w:p>
        </w:tc>
      </w:tr>
      <w:tr w:rsidR="00DB48E0" w14:paraId="2103A448" w14:textId="77777777">
        <w:trPr>
          <w:trHeight w:val="170"/>
          <w:jc w:val="center"/>
        </w:trPr>
        <w:tc>
          <w:tcPr>
            <w:tcW w:w="1701" w:type="dxa"/>
            <w:vAlign w:val="center"/>
          </w:tcPr>
          <w:p w14:paraId="3D81C9BB" w14:textId="77777777" w:rsidR="00DB48E0" w:rsidRDefault="00000000">
            <w:pPr>
              <w:spacing w:before="0"/>
            </w:pPr>
            <w:r>
              <w:rPr>
                <w:color w:val="000000"/>
              </w:rPr>
              <w:t>Low Vol</w:t>
            </w:r>
          </w:p>
        </w:tc>
        <w:tc>
          <w:tcPr>
            <w:tcW w:w="1701" w:type="dxa"/>
            <w:vAlign w:val="center"/>
          </w:tcPr>
          <w:p w14:paraId="3724E513" w14:textId="77777777" w:rsidR="00DB48E0" w:rsidRDefault="00000000">
            <w:pPr>
              <w:spacing w:before="0"/>
              <w:jc w:val="center"/>
              <w:rPr>
                <w:color w:val="000000"/>
              </w:rPr>
            </w:pPr>
            <w:r>
              <w:rPr>
                <w:color w:val="000000"/>
              </w:rPr>
              <w:t>0%</w:t>
            </w:r>
          </w:p>
        </w:tc>
        <w:tc>
          <w:tcPr>
            <w:tcW w:w="1701" w:type="dxa"/>
            <w:vAlign w:val="center"/>
          </w:tcPr>
          <w:p w14:paraId="1D74D116" w14:textId="77777777" w:rsidR="00DB48E0" w:rsidRDefault="00000000">
            <w:pPr>
              <w:spacing w:before="0"/>
              <w:jc w:val="center"/>
              <w:rPr>
                <w:color w:val="000000"/>
              </w:rPr>
            </w:pPr>
            <w:r>
              <w:rPr>
                <w:color w:val="000000"/>
              </w:rPr>
              <w:t>11%</w:t>
            </w:r>
          </w:p>
        </w:tc>
        <w:tc>
          <w:tcPr>
            <w:tcW w:w="1701" w:type="dxa"/>
            <w:vAlign w:val="center"/>
          </w:tcPr>
          <w:p w14:paraId="258601E6" w14:textId="77777777" w:rsidR="00DB48E0" w:rsidRDefault="00000000">
            <w:pPr>
              <w:spacing w:before="0"/>
              <w:jc w:val="center"/>
              <w:rPr>
                <w:color w:val="000000"/>
              </w:rPr>
            </w:pPr>
            <w:r>
              <w:rPr>
                <w:color w:val="000000"/>
              </w:rPr>
              <w:t>16%</w:t>
            </w:r>
          </w:p>
        </w:tc>
      </w:tr>
      <w:tr w:rsidR="00DB48E0" w14:paraId="218F4C24" w14:textId="77777777">
        <w:trPr>
          <w:trHeight w:val="170"/>
          <w:jc w:val="center"/>
        </w:trPr>
        <w:tc>
          <w:tcPr>
            <w:tcW w:w="1701" w:type="dxa"/>
            <w:vAlign w:val="center"/>
          </w:tcPr>
          <w:p w14:paraId="23C21BD3" w14:textId="77777777" w:rsidR="00DB48E0" w:rsidRDefault="00000000">
            <w:pPr>
              <w:spacing w:before="0"/>
            </w:pPr>
            <w:proofErr w:type="spellStart"/>
            <w:r>
              <w:rPr>
                <w:color w:val="000000"/>
              </w:rPr>
              <w:t>Growth</w:t>
            </w:r>
            <w:proofErr w:type="spellEnd"/>
          </w:p>
        </w:tc>
        <w:tc>
          <w:tcPr>
            <w:tcW w:w="1701" w:type="dxa"/>
            <w:vAlign w:val="center"/>
          </w:tcPr>
          <w:p w14:paraId="68B233EF" w14:textId="77777777" w:rsidR="00DB48E0" w:rsidRDefault="00000000">
            <w:pPr>
              <w:spacing w:before="0"/>
              <w:jc w:val="center"/>
            </w:pPr>
            <w:r>
              <w:rPr>
                <w:color w:val="000000"/>
              </w:rPr>
              <w:t>-1%</w:t>
            </w:r>
          </w:p>
        </w:tc>
        <w:tc>
          <w:tcPr>
            <w:tcW w:w="1701" w:type="dxa"/>
            <w:vAlign w:val="center"/>
          </w:tcPr>
          <w:p w14:paraId="177F4034" w14:textId="77777777" w:rsidR="00DB48E0" w:rsidRDefault="00000000">
            <w:pPr>
              <w:spacing w:before="0"/>
              <w:jc w:val="center"/>
            </w:pPr>
            <w:r>
              <w:rPr>
                <w:color w:val="000000"/>
              </w:rPr>
              <w:t>15%</w:t>
            </w:r>
          </w:p>
        </w:tc>
        <w:tc>
          <w:tcPr>
            <w:tcW w:w="1701" w:type="dxa"/>
            <w:vAlign w:val="center"/>
          </w:tcPr>
          <w:p w14:paraId="07CEBF58" w14:textId="77777777" w:rsidR="00DB48E0" w:rsidRDefault="00000000">
            <w:pPr>
              <w:spacing w:before="0"/>
              <w:jc w:val="center"/>
            </w:pPr>
            <w:r>
              <w:rPr>
                <w:color w:val="000000"/>
              </w:rPr>
              <w:t>-17%</w:t>
            </w:r>
          </w:p>
        </w:tc>
      </w:tr>
      <w:tr w:rsidR="00DB48E0" w14:paraId="7893C16E" w14:textId="77777777">
        <w:trPr>
          <w:trHeight w:val="170"/>
          <w:jc w:val="center"/>
        </w:trPr>
        <w:tc>
          <w:tcPr>
            <w:tcW w:w="1701" w:type="dxa"/>
            <w:vAlign w:val="center"/>
          </w:tcPr>
          <w:p w14:paraId="1168CB43" w14:textId="77777777" w:rsidR="00DB48E0" w:rsidRDefault="00000000">
            <w:pPr>
              <w:spacing w:before="0"/>
            </w:pPr>
            <w:proofErr w:type="spellStart"/>
            <w:r>
              <w:rPr>
                <w:color w:val="000000"/>
              </w:rPr>
              <w:t>Quality</w:t>
            </w:r>
            <w:proofErr w:type="spellEnd"/>
          </w:p>
        </w:tc>
        <w:tc>
          <w:tcPr>
            <w:tcW w:w="1701" w:type="dxa"/>
            <w:vAlign w:val="center"/>
          </w:tcPr>
          <w:p w14:paraId="7C4A7612" w14:textId="77777777" w:rsidR="00DB48E0" w:rsidRDefault="00000000">
            <w:pPr>
              <w:spacing w:before="0"/>
              <w:jc w:val="center"/>
              <w:rPr>
                <w:color w:val="000000"/>
              </w:rPr>
            </w:pPr>
            <w:r>
              <w:rPr>
                <w:color w:val="000000"/>
              </w:rPr>
              <w:t>-1%</w:t>
            </w:r>
          </w:p>
        </w:tc>
        <w:tc>
          <w:tcPr>
            <w:tcW w:w="1701" w:type="dxa"/>
            <w:vAlign w:val="center"/>
          </w:tcPr>
          <w:p w14:paraId="4FA07B3C" w14:textId="77777777" w:rsidR="00DB48E0" w:rsidRDefault="00000000">
            <w:pPr>
              <w:spacing w:before="0"/>
              <w:jc w:val="center"/>
              <w:rPr>
                <w:color w:val="000000"/>
              </w:rPr>
            </w:pPr>
            <w:r>
              <w:rPr>
                <w:color w:val="000000"/>
              </w:rPr>
              <w:t>15%</w:t>
            </w:r>
          </w:p>
        </w:tc>
        <w:tc>
          <w:tcPr>
            <w:tcW w:w="1701" w:type="dxa"/>
            <w:vAlign w:val="center"/>
          </w:tcPr>
          <w:p w14:paraId="5AA49FCF" w14:textId="77777777" w:rsidR="00DB48E0" w:rsidRDefault="00000000">
            <w:pPr>
              <w:spacing w:before="0"/>
              <w:jc w:val="center"/>
              <w:rPr>
                <w:color w:val="000000"/>
              </w:rPr>
            </w:pPr>
            <w:r>
              <w:rPr>
                <w:color w:val="000000"/>
              </w:rPr>
              <w:t>-15%</w:t>
            </w:r>
          </w:p>
        </w:tc>
      </w:tr>
      <w:tr w:rsidR="00DB48E0" w14:paraId="18802257" w14:textId="77777777">
        <w:trPr>
          <w:trHeight w:val="170"/>
          <w:jc w:val="center"/>
        </w:trPr>
        <w:tc>
          <w:tcPr>
            <w:tcW w:w="1701" w:type="dxa"/>
            <w:tcBorders>
              <w:bottom w:val="single" w:sz="4" w:space="0" w:color="000000"/>
            </w:tcBorders>
            <w:vAlign w:val="center"/>
          </w:tcPr>
          <w:p w14:paraId="5770951E" w14:textId="77777777" w:rsidR="00DB48E0" w:rsidRDefault="00000000">
            <w:pPr>
              <w:spacing w:before="0"/>
            </w:pPr>
            <w:r>
              <w:rPr>
                <w:color w:val="000000"/>
              </w:rPr>
              <w:t>Small</w:t>
            </w:r>
          </w:p>
        </w:tc>
        <w:tc>
          <w:tcPr>
            <w:tcW w:w="1701" w:type="dxa"/>
            <w:tcBorders>
              <w:bottom w:val="single" w:sz="4" w:space="0" w:color="000000"/>
            </w:tcBorders>
            <w:vAlign w:val="center"/>
          </w:tcPr>
          <w:p w14:paraId="151578FE" w14:textId="77777777" w:rsidR="00DB48E0" w:rsidRDefault="00000000">
            <w:pPr>
              <w:spacing w:before="0"/>
              <w:jc w:val="center"/>
              <w:rPr>
                <w:color w:val="000000"/>
              </w:rPr>
            </w:pPr>
            <w:r>
              <w:rPr>
                <w:color w:val="000000"/>
              </w:rPr>
              <w:t>-5%</w:t>
            </w:r>
          </w:p>
        </w:tc>
        <w:tc>
          <w:tcPr>
            <w:tcW w:w="1701" w:type="dxa"/>
            <w:tcBorders>
              <w:bottom w:val="single" w:sz="4" w:space="0" w:color="000000"/>
            </w:tcBorders>
            <w:vAlign w:val="center"/>
          </w:tcPr>
          <w:p w14:paraId="73CF5A9F" w14:textId="77777777" w:rsidR="00DB48E0" w:rsidRDefault="00000000">
            <w:pPr>
              <w:spacing w:before="0"/>
              <w:jc w:val="center"/>
              <w:rPr>
                <w:color w:val="000000"/>
              </w:rPr>
            </w:pPr>
            <w:r>
              <w:rPr>
                <w:color w:val="000000"/>
              </w:rPr>
              <w:t>18%</w:t>
            </w:r>
          </w:p>
        </w:tc>
        <w:tc>
          <w:tcPr>
            <w:tcW w:w="1701" w:type="dxa"/>
            <w:tcBorders>
              <w:bottom w:val="single" w:sz="4" w:space="0" w:color="000000"/>
            </w:tcBorders>
            <w:vAlign w:val="center"/>
          </w:tcPr>
          <w:p w14:paraId="74D4885C" w14:textId="77777777" w:rsidR="00DB48E0" w:rsidRDefault="00000000">
            <w:pPr>
              <w:spacing w:before="0"/>
              <w:jc w:val="center"/>
              <w:rPr>
                <w:color w:val="000000"/>
              </w:rPr>
            </w:pPr>
            <w:r>
              <w:rPr>
                <w:color w:val="000000"/>
              </w:rPr>
              <w:t>-27%</w:t>
            </w:r>
          </w:p>
        </w:tc>
      </w:tr>
    </w:tbl>
    <w:p w14:paraId="06B23342" w14:textId="77777777" w:rsidR="00DB48E0" w:rsidRDefault="00000000">
      <w:pPr>
        <w:rPr>
          <w:color w:val="000000"/>
          <w:sz w:val="22"/>
          <w:szCs w:val="22"/>
        </w:rPr>
      </w:pPr>
      <w:r>
        <w:rPr>
          <w:color w:val="000000"/>
        </w:rPr>
        <w:t>Source : auteurs, mars 2025.</w:t>
      </w:r>
      <w:r>
        <w:rPr>
          <w:color w:val="000000"/>
          <w:sz w:val="22"/>
          <w:szCs w:val="22"/>
        </w:rPr>
        <w:t> </w:t>
      </w:r>
    </w:p>
    <w:p w14:paraId="7D6521AC" w14:textId="77777777" w:rsidR="00DB48E0" w:rsidRDefault="00000000">
      <w:pPr>
        <w:rPr>
          <w:color w:val="000000"/>
        </w:rPr>
      </w:pPr>
      <w:r>
        <w:rPr>
          <w:color w:val="000000"/>
        </w:rPr>
        <w:t xml:space="preserve">Les performances annuelles sur cette période sont globalement faibles ou négatives, reflétant un environnement difficile. Les stratégies </w:t>
      </w:r>
      <w:proofErr w:type="spellStart"/>
      <w:r>
        <w:rPr>
          <w:color w:val="000000"/>
        </w:rPr>
        <w:t>Growth</w:t>
      </w:r>
      <w:proofErr w:type="spellEnd"/>
      <w:r>
        <w:rPr>
          <w:color w:val="000000"/>
        </w:rPr>
        <w:t xml:space="preserve"> (-1 %) et </w:t>
      </w:r>
      <w:proofErr w:type="spellStart"/>
      <w:r>
        <w:rPr>
          <w:color w:val="000000"/>
        </w:rPr>
        <w:t>Quality</w:t>
      </w:r>
      <w:proofErr w:type="spellEnd"/>
      <w:r>
        <w:t xml:space="preserve"> </w:t>
      </w:r>
      <w:r>
        <w:rPr>
          <w:color w:val="000000"/>
        </w:rPr>
        <w:t xml:space="preserve">(-1 %) ont sous-performé, indiquant une faible attractivité des entreprises en croissance et à fondamentaux solides. Les Small Caps (-5 %) ont été les plus touchées, sensibles aux chocs économiques. Les Large Caps (3 %) et la Value (4 %) ont affiché des rendements modestes, témoignant d’une certaine résilience. Enfin, les actions à faible volatilité (0 %) ont déçu dans un contexte de hausse des taux, avec de nombreux titres du secteur Utilities.  </w:t>
      </w:r>
    </w:p>
    <w:p w14:paraId="2BC9B441" w14:textId="77777777" w:rsidR="00DB48E0" w:rsidRDefault="00000000">
      <w:pPr>
        <w:rPr>
          <w:color w:val="000000"/>
        </w:rPr>
      </w:pPr>
      <w:r>
        <w:rPr>
          <w:color w:val="000000"/>
        </w:rPr>
        <w:t xml:space="preserve">Les volatilités annualisées restent élevées (11 % à 18 %), traduisant l’incertitude persistante. Les Small Caps (18 %) sont les plus volatiles, tandis que les Large Caps (12 %) le sont moins. Les stratégies Momentum (13 %) et </w:t>
      </w:r>
      <w:proofErr w:type="spellStart"/>
      <w:r>
        <w:rPr>
          <w:color w:val="000000"/>
        </w:rPr>
        <w:t>Quality</w:t>
      </w:r>
      <w:proofErr w:type="spellEnd"/>
      <w:r>
        <w:rPr>
          <w:color w:val="000000"/>
        </w:rPr>
        <w:t xml:space="preserve"> (15 %) affichent aussi des volatilités marquées.  </w:t>
      </w:r>
    </w:p>
    <w:p w14:paraId="7414E353" w14:textId="77777777" w:rsidR="00DB48E0" w:rsidRDefault="00000000">
      <w:pPr>
        <w:rPr>
          <w:color w:val="000000"/>
        </w:rPr>
      </w:pPr>
      <w:r>
        <w:rPr>
          <w:color w:val="000000"/>
        </w:rPr>
        <w:t xml:space="preserve">Le maximum </w:t>
      </w:r>
      <w:proofErr w:type="spellStart"/>
      <w:r>
        <w:rPr>
          <w:color w:val="000000"/>
        </w:rPr>
        <w:t>drawdown</w:t>
      </w:r>
      <w:proofErr w:type="spellEnd"/>
      <w:r>
        <w:rPr>
          <w:color w:val="000000"/>
        </w:rPr>
        <w:t xml:space="preserve"> est significatif pour toutes les stratégies, avec des pertes de -15 % pour les Large Caps et </w:t>
      </w:r>
      <w:proofErr w:type="spellStart"/>
      <w:r>
        <w:rPr>
          <w:color w:val="000000"/>
        </w:rPr>
        <w:t>Quality</w:t>
      </w:r>
      <w:proofErr w:type="spellEnd"/>
      <w:r>
        <w:rPr>
          <w:color w:val="000000"/>
        </w:rPr>
        <w:t xml:space="preserve">, et jusqu’à -27 % pour les Small Caps, reflétant les corrections du marché face aux incertitudes économiques et aux politiques monétaires restrictives.  </w:t>
      </w:r>
    </w:p>
    <w:p w14:paraId="6061CC74" w14:textId="77777777" w:rsidR="00DB48E0" w:rsidRDefault="00000000">
      <w:pPr>
        <w:rPr>
          <w:color w:val="000000"/>
          <w:sz w:val="22"/>
          <w:szCs w:val="22"/>
        </w:rPr>
      </w:pPr>
      <w:r>
        <w:rPr>
          <w:color w:val="000000"/>
        </w:rPr>
        <w:t>Globalement, la période 2022-2025 est marquée par une forte volatilité et des performances faibles, illustrant les défis économiques persistants.</w:t>
      </w:r>
    </w:p>
    <w:p w14:paraId="22ED6E29" w14:textId="77777777" w:rsidR="00DB48E0" w:rsidRDefault="00000000">
      <w:pPr>
        <w:spacing w:before="0" w:after="200" w:line="276" w:lineRule="auto"/>
        <w:jc w:val="left"/>
      </w:pPr>
      <w:r>
        <w:br w:type="page"/>
      </w:r>
    </w:p>
    <w:p w14:paraId="09A7E394" w14:textId="77777777" w:rsidR="00DB48E0" w:rsidRDefault="00000000">
      <w:pPr>
        <w:pStyle w:val="Titre1"/>
      </w:pPr>
      <w:bookmarkStart w:id="51" w:name="_Toc194078578"/>
      <w:r>
        <w:lastRenderedPageBreak/>
        <w:t>Conclusion</w:t>
      </w:r>
      <w:bookmarkEnd w:id="51"/>
    </w:p>
    <w:p w14:paraId="08D25F97" w14:textId="77777777" w:rsidR="00DB48E0" w:rsidRDefault="00000000">
      <w:r>
        <w:t>Depuis 1998, les marchés financiers européens ont traversé plusieurs crises majeures et périodes d’expansion, influençant profondément les stratégies d’investissement. L’évolution de ces stratégies résulte des cycles économiques, des transformations technologiques et des chocs exogènes, mettant en évidence la résilience ou la vulnérabilité des différents styles d’investissement.</w:t>
      </w:r>
    </w:p>
    <w:p w14:paraId="09A9C786" w14:textId="77777777" w:rsidR="00DB48E0" w:rsidRDefault="00000000">
      <w:r>
        <w:t xml:space="preserve">L'analyse des indices MSCI Europe sur la période 1998-2024 révèle une forte corrélation entre les différents styles d'investissement, avec des rentabilités variées. Les indices MSCI Europe Momentum et Value présentent la plus faible corrélation, tandis que les indices </w:t>
      </w:r>
      <w:proofErr w:type="spellStart"/>
      <w:r>
        <w:t>Growth</w:t>
      </w:r>
      <w:proofErr w:type="spellEnd"/>
      <w:r>
        <w:t xml:space="preserve"> et </w:t>
      </w:r>
      <w:proofErr w:type="spellStart"/>
      <w:r>
        <w:t>Quality</w:t>
      </w:r>
      <w:proofErr w:type="spellEnd"/>
      <w:r>
        <w:t xml:space="preserve"> montrent la plus forte. Les petites capitalisations (Small Cap) et les valeurs sous-évaluées (Value) sont particulièrement sensibles aux cycles économiques, affichant une volatilité élevée. En revanche, les actions de croissance (</w:t>
      </w:r>
      <w:proofErr w:type="spellStart"/>
      <w:r>
        <w:t>Growth</w:t>
      </w:r>
      <w:proofErr w:type="spellEnd"/>
      <w:r>
        <w:t>) et de qualité (</w:t>
      </w:r>
      <w:proofErr w:type="spellStart"/>
      <w:r>
        <w:t>Quality</w:t>
      </w:r>
      <w:proofErr w:type="spellEnd"/>
      <w:r>
        <w:t xml:space="preserve">) sont moins volatiles, grâce à leur positionnement dans des secteurs innovants ou à leur solidité financière. Les actions à faible volatilité (Low Vol) sont les moins sensibles aux fluctuations du marché, offrant une stabilité appréciée en période de turbulences. Les bêtas des indices reflètent ces caractéristiques : les Small Cap et Value ont des bêtas élevées, indiquant une grande sensibilité aux cycles économiques, tandis que les indices </w:t>
      </w:r>
      <w:proofErr w:type="spellStart"/>
      <w:r>
        <w:t>Growth</w:t>
      </w:r>
      <w:proofErr w:type="spellEnd"/>
      <w:r>
        <w:t xml:space="preserve">, </w:t>
      </w:r>
      <w:proofErr w:type="spellStart"/>
      <w:r>
        <w:t>Quality</w:t>
      </w:r>
      <w:proofErr w:type="spellEnd"/>
      <w:r>
        <w:t>, et Low Vol présentent des bêtas plus faibles, suggérant une meilleure résistance aux chocs économiques. Le modèle de Fama-French à cinq facteurs confirme ces observations, montrant que les indices ont des sensibilités variées aux facteurs de risque, avec des alphas ajustés au risque de 0 pour tous les indices.</w:t>
      </w:r>
    </w:p>
    <w:p w14:paraId="515824D6" w14:textId="77777777" w:rsidR="00DB48E0" w:rsidRDefault="00000000">
      <w:r>
        <w:t xml:space="preserve">La période de la bulle internet (1998-2003) a vu des pertes massives pour toutes les stratégies d'investissement. Les valeurs de croissance et de grande capitalisation ont été les plus touchées, en raison de leur surévaluation initiale. La volatilité était élevée pour tous les styles, avec des max </w:t>
      </w:r>
      <w:proofErr w:type="spellStart"/>
      <w:r>
        <w:t>drawdown</w:t>
      </w:r>
      <w:proofErr w:type="spellEnd"/>
      <w:r>
        <w:t xml:space="preserve"> particulièrement sévères pour les indices </w:t>
      </w:r>
      <w:proofErr w:type="spellStart"/>
      <w:r>
        <w:t>Growth</w:t>
      </w:r>
      <w:proofErr w:type="spellEnd"/>
      <w:r>
        <w:t xml:space="preserve">, Large, et Momentum. Le milieu des années 2000 (2003-2007) a été marqué par une forte performance des marchés financiers. La stratégie </w:t>
      </w:r>
      <w:proofErr w:type="spellStart"/>
      <w:r>
        <w:t>momentum</w:t>
      </w:r>
      <w:proofErr w:type="spellEnd"/>
      <w:r>
        <w:t xml:space="preserve"> a enregistré la meilleure rentabilité, suivie par les petites capitalisations et la stratégie </w:t>
      </w:r>
      <w:proofErr w:type="spellStart"/>
      <w:r>
        <w:t>low</w:t>
      </w:r>
      <w:proofErr w:type="spellEnd"/>
      <w:r>
        <w:t xml:space="preserve"> vol. La volatilité a diminué par rapport à la période précédente, avec des niveaux de risque plus modérés pour la plupart des styles. La crise des </w:t>
      </w:r>
      <w:proofErr w:type="spellStart"/>
      <w:r>
        <w:t>subprimes</w:t>
      </w:r>
      <w:proofErr w:type="spellEnd"/>
      <w:r>
        <w:t xml:space="preserve"> (2007-2009) a entraîné des pertes massives pour toutes les stratégies, avec une volatilité extrêmement élevée. Les stratégies </w:t>
      </w:r>
      <w:proofErr w:type="spellStart"/>
      <w:r>
        <w:t>momentum</w:t>
      </w:r>
      <w:proofErr w:type="spellEnd"/>
      <w:r>
        <w:t xml:space="preserve"> et value ont été les plus affectées, tandis que les actions de qualité et à faible volatilité ont mieux résisté, confirmant leur rôle défensif.</w:t>
      </w:r>
    </w:p>
    <w:p w14:paraId="3D8A18AF" w14:textId="77777777" w:rsidR="00DB48E0" w:rsidRDefault="00000000">
      <w:r>
        <w:t xml:space="preserve">La crise de la zone euro (2009-2012) a vu une reprise modérée des marchés, avec des performances positives pour la plupart des styles. Les stratégies </w:t>
      </w:r>
      <w:proofErr w:type="spellStart"/>
      <w:r>
        <w:t>momentum</w:t>
      </w:r>
      <w:proofErr w:type="spellEnd"/>
      <w:r>
        <w:t xml:space="preserve"> et Small Cap ont affiché les meilleures rentabilités, tandis que les actions à faible volatilité et de qualité ont montré une résilience face aux turbulences. La période de reprise et d'expansion des années 2010 (2013-2019) a été caractérisée par des rendements positifs mais modérés. Les Small Cap ont continué de surperformer, tandis que les Large Cap et Value ont sous-performé. La volatilité est restée stable, avec des niveaux de risque modérés pour la plupart des styles. La pandémie de COVID-19 (2020-2021) a entraîné une volatilité accrue et des performances contrastées. Les stratégies </w:t>
      </w:r>
      <w:proofErr w:type="spellStart"/>
      <w:r>
        <w:t>Growth</w:t>
      </w:r>
      <w:proofErr w:type="spellEnd"/>
      <w:r>
        <w:t xml:space="preserve"> et Momentum ont surperformé, tandis que les Value ont sous-performé. La volatilité était élevée, avec des corrections importantes pour la plupart des styles. L'ère </w:t>
      </w:r>
      <w:r>
        <w:lastRenderedPageBreak/>
        <w:t>post-COVID (2022-2024) est marquée par des incertitudes économiques persistantes et des performances globalement faibles. Les Small Cap ont été particulièrement touchées, tandis que les Large Cap et Value ont montré une certaine résilience. La volatilité reste élevée, reflétant les défis économiques et les politiques monétaires restrictives.</w:t>
      </w:r>
    </w:p>
    <w:p w14:paraId="75E1BD79" w14:textId="77777777" w:rsidR="00DB48E0" w:rsidRDefault="00000000">
      <w:r>
        <w:t xml:space="preserve">L’analyse des différentes phases économiques depuis 1999 montre que chaque cycle favorise certains styles au détriment d’autres. Les périodes de reprise et de croissance bénéficient principalement à la stratégie </w:t>
      </w:r>
      <w:proofErr w:type="spellStart"/>
      <w:r>
        <w:t>momentum</w:t>
      </w:r>
      <w:proofErr w:type="spellEnd"/>
      <w:r>
        <w:t>, tandis que les crises mettent en avant les styles défensifs comme la qualité et la faible volatilité. La value peine à générer des surperformances durables dans les phases de croissance modérée. Les petites capitalisations, bien qu'offrant un fort potentiel de rendement, restent très sensibles aux fluctuations économiques. L’adaptabilité des investisseurs et l’utilisation de stratégies diversifiées apparaissent donc essentielles pour maximiser la performance ajustée au risque sur le long terme.</w:t>
      </w:r>
    </w:p>
    <w:p w14:paraId="702ECB3B" w14:textId="77777777" w:rsidR="00DB48E0" w:rsidRDefault="00000000">
      <w:r>
        <w:t>Cette étude analyse l’évolution des stratégies d’investissement basées sur les facteurs sur la période 1998-2024, en se concentrant sur des indicateurs de performance et de risque. L’approche factorielle, fondée sur les travaux théoriques initiés dans les années 1960 et enrichie par Fama et French à travers leurs modèles multifactoriels, constitue le cadre analytique de cette recherche. Les principales contributions et innovations de cette étude sont la considération de plusieurs styles d’investissement et l’analyse par sous-période. L’objectif est de produire des résultats contribuant à la fois à la littérature financière existante et offrant des informations exploitables par les praticiens, en fonction des conditions de marché auxquelles ils sont confrontés.</w:t>
      </w:r>
    </w:p>
    <w:p w14:paraId="4E379570" w14:textId="77777777" w:rsidR="00DB48E0" w:rsidRDefault="00000000">
      <w:r>
        <w:t>En outre, cette recherche peut servir de base pour de futures explorations de nouvelles stratégies d’investissement intégrant des facteurs de rendement encore peu étudiés ou récemment développés. Parmi ces derniers, la liquidité et les critères environnementaux, sociaux et de gouvernance (ESG) constituent des axes d’analyse particulièrement pertinents. Par ailleurs, étant donné l’importance de la flexibilité dans la gestion des portefeuilles, il convient de souligner la possibilité de combiner différents styles d’investissement afin de tirer parti des avantages spécifiques de chacun. Cette approche permet d’optimiser la prise de décision dans un environnement financier en perpétuelle évolution.</w:t>
      </w:r>
    </w:p>
    <w:p w14:paraId="456CBF08" w14:textId="77777777" w:rsidR="00DB48E0" w:rsidRDefault="00DB48E0"/>
    <w:p w14:paraId="77E96B79" w14:textId="77777777" w:rsidR="00DB48E0" w:rsidRDefault="00000000">
      <w:pPr>
        <w:spacing w:before="0" w:after="200" w:line="276" w:lineRule="auto"/>
        <w:jc w:val="left"/>
      </w:pPr>
      <w:r>
        <w:br w:type="page"/>
      </w:r>
    </w:p>
    <w:p w14:paraId="50CCEB6E" w14:textId="77777777" w:rsidR="00DB48E0" w:rsidRDefault="00000000">
      <w:r>
        <w:lastRenderedPageBreak/>
        <w:t>REFERENCES</w:t>
      </w:r>
    </w:p>
    <w:p w14:paraId="6070B925" w14:textId="77777777" w:rsidR="00DB48E0" w:rsidRDefault="00000000">
      <w:pPr>
        <w:pBdr>
          <w:top w:val="nil"/>
          <w:left w:val="nil"/>
          <w:bottom w:val="nil"/>
          <w:right w:val="nil"/>
          <w:between w:val="nil"/>
        </w:pBdr>
        <w:spacing w:after="0" w:line="240" w:lineRule="auto"/>
        <w:ind w:left="720" w:hanging="720"/>
        <w:rPr>
          <w:color w:val="000000"/>
        </w:rPr>
      </w:pPr>
      <w:proofErr w:type="spellStart"/>
      <w:r>
        <w:rPr>
          <w:color w:val="000000"/>
        </w:rPr>
        <w:t>Barberis</w:t>
      </w:r>
      <w:proofErr w:type="spellEnd"/>
      <w:r>
        <w:rPr>
          <w:color w:val="000000"/>
        </w:rPr>
        <w:t xml:space="preserve">, Nicholas, and Andrei </w:t>
      </w:r>
      <w:proofErr w:type="spellStart"/>
      <w:r>
        <w:rPr>
          <w:color w:val="000000"/>
        </w:rPr>
        <w:t>Shleifer</w:t>
      </w:r>
      <w:proofErr w:type="spellEnd"/>
      <w:r>
        <w:rPr>
          <w:color w:val="000000"/>
        </w:rPr>
        <w:t xml:space="preserve">. 2003. “Style </w:t>
      </w:r>
      <w:proofErr w:type="spellStart"/>
      <w:r>
        <w:rPr>
          <w:color w:val="000000"/>
        </w:rPr>
        <w:t>Investing</w:t>
      </w:r>
      <w:proofErr w:type="spellEnd"/>
      <w:r>
        <w:rPr>
          <w:color w:val="000000"/>
        </w:rPr>
        <w:t xml:space="preserve">.” </w:t>
      </w:r>
      <w:r>
        <w:rPr>
          <w:i/>
          <w:color w:val="000000"/>
        </w:rPr>
        <w:t xml:space="preserve">Journal of Financial </w:t>
      </w:r>
      <w:proofErr w:type="spellStart"/>
      <w:r>
        <w:rPr>
          <w:i/>
          <w:color w:val="000000"/>
        </w:rPr>
        <w:t>Economics</w:t>
      </w:r>
      <w:proofErr w:type="spellEnd"/>
      <w:r>
        <w:rPr>
          <w:color w:val="000000"/>
        </w:rPr>
        <w:t xml:space="preserve"> 68 (2</w:t>
      </w:r>
      <w:proofErr w:type="gramStart"/>
      <w:r>
        <w:rPr>
          <w:color w:val="000000"/>
        </w:rPr>
        <w:t>):</w:t>
      </w:r>
      <w:proofErr w:type="gramEnd"/>
      <w:r>
        <w:rPr>
          <w:color w:val="000000"/>
        </w:rPr>
        <w:t xml:space="preserve"> 161–99. https://doi.org/10.1016/S0304-405X(03)00064-3.</w:t>
      </w:r>
    </w:p>
    <w:p w14:paraId="5F7BA6A4" w14:textId="77777777" w:rsidR="00DB48E0" w:rsidRDefault="00000000">
      <w:pPr>
        <w:pBdr>
          <w:top w:val="nil"/>
          <w:left w:val="nil"/>
          <w:bottom w:val="nil"/>
          <w:right w:val="nil"/>
          <w:between w:val="nil"/>
        </w:pBdr>
        <w:spacing w:after="0" w:line="240" w:lineRule="auto"/>
        <w:ind w:left="720" w:hanging="720"/>
        <w:rPr>
          <w:color w:val="000000"/>
        </w:rPr>
      </w:pPr>
      <w:proofErr w:type="spellStart"/>
      <w:r>
        <w:rPr>
          <w:color w:val="000000"/>
        </w:rPr>
        <w:t>Bessler</w:t>
      </w:r>
      <w:proofErr w:type="spellEnd"/>
      <w:r>
        <w:rPr>
          <w:color w:val="000000"/>
        </w:rPr>
        <w:t xml:space="preserve">, Wolfgang, Georgi </w:t>
      </w:r>
      <w:proofErr w:type="spellStart"/>
      <w:r>
        <w:rPr>
          <w:color w:val="000000"/>
        </w:rPr>
        <w:t>Taushanov</w:t>
      </w:r>
      <w:proofErr w:type="spellEnd"/>
      <w:r>
        <w:rPr>
          <w:color w:val="000000"/>
        </w:rPr>
        <w:t xml:space="preserve">, and </w:t>
      </w:r>
      <w:proofErr w:type="spellStart"/>
      <w:r>
        <w:rPr>
          <w:color w:val="000000"/>
        </w:rPr>
        <w:t>Dominik</w:t>
      </w:r>
      <w:proofErr w:type="spellEnd"/>
      <w:r>
        <w:rPr>
          <w:color w:val="000000"/>
        </w:rPr>
        <w:t xml:space="preserve"> Wolff. 2021. “Factor </w:t>
      </w:r>
      <w:proofErr w:type="spellStart"/>
      <w:r>
        <w:rPr>
          <w:color w:val="000000"/>
        </w:rPr>
        <w:t>Investing</w:t>
      </w:r>
      <w:proofErr w:type="spellEnd"/>
      <w:r>
        <w:rPr>
          <w:color w:val="000000"/>
        </w:rPr>
        <w:t xml:space="preserve"> and Asset Allocation </w:t>
      </w:r>
      <w:proofErr w:type="spellStart"/>
      <w:proofErr w:type="gramStart"/>
      <w:r>
        <w:rPr>
          <w:color w:val="000000"/>
        </w:rPr>
        <w:t>Strategies</w:t>
      </w:r>
      <w:proofErr w:type="spellEnd"/>
      <w:r>
        <w:rPr>
          <w:color w:val="000000"/>
        </w:rPr>
        <w:t>:</w:t>
      </w:r>
      <w:proofErr w:type="gramEnd"/>
      <w:r>
        <w:rPr>
          <w:color w:val="000000"/>
        </w:rPr>
        <w:t xml:space="preserve"> A </w:t>
      </w:r>
      <w:proofErr w:type="spellStart"/>
      <w:r>
        <w:rPr>
          <w:color w:val="000000"/>
        </w:rPr>
        <w:t>Comparison</w:t>
      </w:r>
      <w:proofErr w:type="spellEnd"/>
      <w:r>
        <w:rPr>
          <w:color w:val="000000"/>
        </w:rPr>
        <w:t xml:space="preserve"> of Factor versus </w:t>
      </w:r>
      <w:proofErr w:type="spellStart"/>
      <w:r>
        <w:rPr>
          <w:color w:val="000000"/>
        </w:rPr>
        <w:t>Sector</w:t>
      </w:r>
      <w:proofErr w:type="spellEnd"/>
      <w:r>
        <w:rPr>
          <w:color w:val="000000"/>
        </w:rPr>
        <w:t xml:space="preserve"> </w:t>
      </w:r>
      <w:proofErr w:type="spellStart"/>
      <w:r>
        <w:rPr>
          <w:color w:val="000000"/>
        </w:rPr>
        <w:t>Optimization</w:t>
      </w:r>
      <w:proofErr w:type="spellEnd"/>
      <w:r>
        <w:rPr>
          <w:color w:val="000000"/>
        </w:rPr>
        <w:t xml:space="preserve">.” </w:t>
      </w:r>
      <w:r>
        <w:rPr>
          <w:i/>
          <w:color w:val="000000"/>
        </w:rPr>
        <w:t>Journal of Asset Management</w:t>
      </w:r>
      <w:r>
        <w:rPr>
          <w:color w:val="000000"/>
        </w:rPr>
        <w:t xml:space="preserve"> 22 (6</w:t>
      </w:r>
      <w:proofErr w:type="gramStart"/>
      <w:r>
        <w:rPr>
          <w:color w:val="000000"/>
        </w:rPr>
        <w:t>):</w:t>
      </w:r>
      <w:proofErr w:type="gramEnd"/>
      <w:r>
        <w:rPr>
          <w:color w:val="000000"/>
        </w:rPr>
        <w:t xml:space="preserve"> 488–506. https://doi.org/10.1057/s41260-021-00225-1.</w:t>
      </w:r>
    </w:p>
    <w:p w14:paraId="25B4D87E" w14:textId="77777777" w:rsidR="00DB48E0" w:rsidRDefault="00000000">
      <w:pPr>
        <w:pBdr>
          <w:top w:val="nil"/>
          <w:left w:val="nil"/>
          <w:bottom w:val="nil"/>
          <w:right w:val="nil"/>
          <w:between w:val="nil"/>
        </w:pBdr>
        <w:spacing w:after="0" w:line="240" w:lineRule="auto"/>
        <w:ind w:left="720" w:hanging="720"/>
        <w:rPr>
          <w:color w:val="000000"/>
        </w:rPr>
      </w:pPr>
      <w:proofErr w:type="spellStart"/>
      <w:r>
        <w:rPr>
          <w:color w:val="000000"/>
        </w:rPr>
        <w:t>Carhart</w:t>
      </w:r>
      <w:proofErr w:type="spellEnd"/>
      <w:r>
        <w:rPr>
          <w:color w:val="000000"/>
        </w:rPr>
        <w:t xml:space="preserve">, Mark M. 1997. “On </w:t>
      </w:r>
      <w:proofErr w:type="spellStart"/>
      <w:r>
        <w:rPr>
          <w:color w:val="000000"/>
        </w:rPr>
        <w:t>Persistence</w:t>
      </w:r>
      <w:proofErr w:type="spellEnd"/>
      <w:r>
        <w:rPr>
          <w:color w:val="000000"/>
        </w:rPr>
        <w:t xml:space="preserve"> in </w:t>
      </w:r>
      <w:proofErr w:type="spellStart"/>
      <w:r>
        <w:rPr>
          <w:color w:val="000000"/>
        </w:rPr>
        <w:t>Mutual</w:t>
      </w:r>
      <w:proofErr w:type="spellEnd"/>
      <w:r>
        <w:rPr>
          <w:color w:val="000000"/>
        </w:rPr>
        <w:t xml:space="preserve"> </w:t>
      </w:r>
      <w:proofErr w:type="spellStart"/>
      <w:r>
        <w:rPr>
          <w:color w:val="000000"/>
        </w:rPr>
        <w:t>Fund</w:t>
      </w:r>
      <w:proofErr w:type="spellEnd"/>
      <w:r>
        <w:rPr>
          <w:color w:val="000000"/>
        </w:rPr>
        <w:t xml:space="preserve"> Performance.” </w:t>
      </w:r>
      <w:r>
        <w:rPr>
          <w:i/>
          <w:color w:val="000000"/>
        </w:rPr>
        <w:t>The Journal of Finance</w:t>
      </w:r>
      <w:r>
        <w:rPr>
          <w:color w:val="000000"/>
        </w:rPr>
        <w:t xml:space="preserve"> 52 (1</w:t>
      </w:r>
      <w:proofErr w:type="gramStart"/>
      <w:r>
        <w:rPr>
          <w:color w:val="000000"/>
        </w:rPr>
        <w:t>):</w:t>
      </w:r>
      <w:proofErr w:type="gramEnd"/>
      <w:r>
        <w:rPr>
          <w:color w:val="000000"/>
        </w:rPr>
        <w:t xml:space="preserve"> 57–82. https://doi.org/10.1111/j.1540-6261.1997.tb03808.x.</w:t>
      </w:r>
    </w:p>
    <w:p w14:paraId="25E2175E" w14:textId="77777777" w:rsidR="00DB48E0" w:rsidRDefault="00000000">
      <w:pPr>
        <w:pBdr>
          <w:top w:val="nil"/>
          <w:left w:val="nil"/>
          <w:bottom w:val="nil"/>
          <w:right w:val="nil"/>
          <w:between w:val="nil"/>
        </w:pBdr>
        <w:spacing w:after="0" w:line="240" w:lineRule="auto"/>
        <w:ind w:left="720" w:hanging="720"/>
        <w:rPr>
          <w:color w:val="000000"/>
        </w:rPr>
      </w:pPr>
      <w:r>
        <w:rPr>
          <w:color w:val="000000"/>
        </w:rPr>
        <w:t xml:space="preserve">Chan, Louis K. C., and Josef </w:t>
      </w:r>
      <w:proofErr w:type="spellStart"/>
      <w:r>
        <w:rPr>
          <w:color w:val="000000"/>
        </w:rPr>
        <w:t>Lakonishok</w:t>
      </w:r>
      <w:proofErr w:type="spellEnd"/>
      <w:r>
        <w:rPr>
          <w:color w:val="000000"/>
        </w:rPr>
        <w:t xml:space="preserve">. 2004. “Value and </w:t>
      </w:r>
      <w:proofErr w:type="spellStart"/>
      <w:r>
        <w:rPr>
          <w:color w:val="000000"/>
        </w:rPr>
        <w:t>Growth</w:t>
      </w:r>
      <w:proofErr w:type="spellEnd"/>
      <w:r>
        <w:rPr>
          <w:color w:val="000000"/>
        </w:rPr>
        <w:t xml:space="preserve"> </w:t>
      </w:r>
      <w:proofErr w:type="spellStart"/>
      <w:proofErr w:type="gramStart"/>
      <w:r>
        <w:rPr>
          <w:color w:val="000000"/>
        </w:rPr>
        <w:t>Investing</w:t>
      </w:r>
      <w:proofErr w:type="spellEnd"/>
      <w:r>
        <w:rPr>
          <w:color w:val="000000"/>
        </w:rPr>
        <w:t>:</w:t>
      </w:r>
      <w:proofErr w:type="gramEnd"/>
      <w:r>
        <w:rPr>
          <w:color w:val="000000"/>
        </w:rPr>
        <w:t xml:space="preserve"> </w:t>
      </w:r>
      <w:proofErr w:type="spellStart"/>
      <w:r>
        <w:rPr>
          <w:color w:val="000000"/>
        </w:rPr>
        <w:t>Review</w:t>
      </w:r>
      <w:proofErr w:type="spellEnd"/>
      <w:r>
        <w:rPr>
          <w:color w:val="000000"/>
        </w:rPr>
        <w:t xml:space="preserve"> and Update.” </w:t>
      </w:r>
      <w:r>
        <w:rPr>
          <w:i/>
          <w:color w:val="000000"/>
        </w:rPr>
        <w:t xml:space="preserve">Financial </w:t>
      </w:r>
      <w:proofErr w:type="spellStart"/>
      <w:r>
        <w:rPr>
          <w:i/>
          <w:color w:val="000000"/>
        </w:rPr>
        <w:t>Analysts</w:t>
      </w:r>
      <w:proofErr w:type="spellEnd"/>
      <w:r>
        <w:rPr>
          <w:i/>
          <w:color w:val="000000"/>
        </w:rPr>
        <w:t xml:space="preserve"> Journal</w:t>
      </w:r>
      <w:r>
        <w:rPr>
          <w:color w:val="000000"/>
        </w:rPr>
        <w:t xml:space="preserve">, </w:t>
      </w:r>
      <w:proofErr w:type="spellStart"/>
      <w:r>
        <w:rPr>
          <w:color w:val="000000"/>
        </w:rPr>
        <w:t>January</w:t>
      </w:r>
      <w:proofErr w:type="spellEnd"/>
      <w:r>
        <w:rPr>
          <w:color w:val="000000"/>
        </w:rPr>
        <w:t>. https://doi.org/10.2469/faj.v60.n1.2593.</w:t>
      </w:r>
    </w:p>
    <w:p w14:paraId="6DA73076" w14:textId="77777777" w:rsidR="00DB48E0" w:rsidRDefault="00000000">
      <w:pPr>
        <w:pBdr>
          <w:top w:val="nil"/>
          <w:left w:val="nil"/>
          <w:bottom w:val="nil"/>
          <w:right w:val="nil"/>
          <w:between w:val="nil"/>
        </w:pBdr>
        <w:spacing w:after="0" w:line="240" w:lineRule="auto"/>
        <w:ind w:left="720" w:hanging="720"/>
        <w:rPr>
          <w:color w:val="000000"/>
        </w:rPr>
      </w:pPr>
      <w:r>
        <w:rPr>
          <w:color w:val="000000"/>
        </w:rPr>
        <w:t xml:space="preserve">Chou, Pin-Huang, </w:t>
      </w:r>
      <w:proofErr w:type="spellStart"/>
      <w:r>
        <w:rPr>
          <w:color w:val="000000"/>
        </w:rPr>
        <w:t>Kuan</w:t>
      </w:r>
      <w:proofErr w:type="spellEnd"/>
      <w:r>
        <w:rPr>
          <w:color w:val="000000"/>
        </w:rPr>
        <w:t xml:space="preserve">-Cheng Ko, and </w:t>
      </w:r>
      <w:proofErr w:type="spellStart"/>
      <w:r>
        <w:rPr>
          <w:color w:val="000000"/>
        </w:rPr>
        <w:t>Nien</w:t>
      </w:r>
      <w:proofErr w:type="spellEnd"/>
      <w:r>
        <w:rPr>
          <w:color w:val="000000"/>
        </w:rPr>
        <w:t xml:space="preserve">-Tzu Yang. 2019. “Asset </w:t>
      </w:r>
      <w:proofErr w:type="spellStart"/>
      <w:r>
        <w:rPr>
          <w:color w:val="000000"/>
        </w:rPr>
        <w:t>Growth</w:t>
      </w:r>
      <w:proofErr w:type="spellEnd"/>
      <w:r>
        <w:rPr>
          <w:color w:val="000000"/>
        </w:rPr>
        <w:t xml:space="preserve">, Style </w:t>
      </w:r>
      <w:proofErr w:type="spellStart"/>
      <w:r>
        <w:rPr>
          <w:color w:val="000000"/>
        </w:rPr>
        <w:t>Investing</w:t>
      </w:r>
      <w:proofErr w:type="spellEnd"/>
      <w:r>
        <w:rPr>
          <w:color w:val="000000"/>
        </w:rPr>
        <w:t xml:space="preserve">, and Momentum.” </w:t>
      </w:r>
      <w:r>
        <w:rPr>
          <w:i/>
          <w:color w:val="000000"/>
        </w:rPr>
        <w:t>Journal of Banking &amp; Finance</w:t>
      </w:r>
      <w:r>
        <w:rPr>
          <w:color w:val="000000"/>
        </w:rPr>
        <w:t xml:space="preserve"> 98 (</w:t>
      </w:r>
      <w:proofErr w:type="spellStart"/>
      <w:r>
        <w:rPr>
          <w:color w:val="000000"/>
        </w:rPr>
        <w:t>January</w:t>
      </w:r>
      <w:proofErr w:type="spellEnd"/>
      <w:proofErr w:type="gramStart"/>
      <w:r>
        <w:rPr>
          <w:color w:val="000000"/>
        </w:rPr>
        <w:t>):</w:t>
      </w:r>
      <w:proofErr w:type="gramEnd"/>
      <w:r>
        <w:rPr>
          <w:color w:val="000000"/>
        </w:rPr>
        <w:t>108–24. https://doi.org/10.1016/j.jbankfin.2018.11.008.</w:t>
      </w:r>
    </w:p>
    <w:p w14:paraId="41FB0B5D" w14:textId="77777777" w:rsidR="00DB48E0" w:rsidRDefault="00000000">
      <w:pPr>
        <w:pBdr>
          <w:top w:val="nil"/>
          <w:left w:val="nil"/>
          <w:bottom w:val="nil"/>
          <w:right w:val="nil"/>
          <w:between w:val="nil"/>
        </w:pBdr>
        <w:spacing w:after="0" w:line="240" w:lineRule="auto"/>
        <w:ind w:left="720" w:hanging="720"/>
        <w:rPr>
          <w:color w:val="000000"/>
        </w:rPr>
      </w:pPr>
      <w:r>
        <w:rPr>
          <w:color w:val="000000"/>
        </w:rPr>
        <w:t xml:space="preserve">Fama, Eugene F., and Kenneth R. French. 1992. “The Cross‐Section of </w:t>
      </w:r>
      <w:proofErr w:type="spellStart"/>
      <w:r>
        <w:rPr>
          <w:color w:val="000000"/>
        </w:rPr>
        <w:t>Expected</w:t>
      </w:r>
      <w:proofErr w:type="spellEnd"/>
      <w:r>
        <w:rPr>
          <w:color w:val="000000"/>
        </w:rPr>
        <w:t xml:space="preserve"> Stock </w:t>
      </w:r>
      <w:proofErr w:type="spellStart"/>
      <w:r>
        <w:rPr>
          <w:color w:val="000000"/>
        </w:rPr>
        <w:t>Returns</w:t>
      </w:r>
      <w:proofErr w:type="spellEnd"/>
      <w:r>
        <w:rPr>
          <w:color w:val="000000"/>
        </w:rPr>
        <w:t xml:space="preserve">.” </w:t>
      </w:r>
      <w:r>
        <w:rPr>
          <w:i/>
          <w:color w:val="000000"/>
        </w:rPr>
        <w:t>The Journal of Finance</w:t>
      </w:r>
      <w:r>
        <w:rPr>
          <w:color w:val="000000"/>
        </w:rPr>
        <w:t xml:space="preserve"> 47 (2</w:t>
      </w:r>
      <w:proofErr w:type="gramStart"/>
      <w:r>
        <w:rPr>
          <w:color w:val="000000"/>
        </w:rPr>
        <w:t>):</w:t>
      </w:r>
      <w:proofErr w:type="gramEnd"/>
      <w:r>
        <w:rPr>
          <w:color w:val="000000"/>
        </w:rPr>
        <w:t xml:space="preserve"> 427–65. https://doi.org/10.1111/j.1540-6261.1992.tb04398.x.</w:t>
      </w:r>
    </w:p>
    <w:p w14:paraId="56EFC939" w14:textId="77777777" w:rsidR="00DB48E0" w:rsidRDefault="00000000">
      <w:pPr>
        <w:pBdr>
          <w:top w:val="nil"/>
          <w:left w:val="nil"/>
          <w:bottom w:val="nil"/>
          <w:right w:val="nil"/>
          <w:between w:val="nil"/>
        </w:pBdr>
        <w:spacing w:after="0" w:line="240" w:lineRule="auto"/>
        <w:ind w:left="720" w:hanging="720"/>
        <w:rPr>
          <w:color w:val="000000"/>
        </w:rPr>
      </w:pPr>
      <w:r>
        <w:rPr>
          <w:color w:val="000000"/>
        </w:rPr>
        <w:t xml:space="preserve">———. 1993. “Common Risk </w:t>
      </w:r>
      <w:proofErr w:type="spellStart"/>
      <w:r>
        <w:rPr>
          <w:color w:val="000000"/>
        </w:rPr>
        <w:t>Factors</w:t>
      </w:r>
      <w:proofErr w:type="spellEnd"/>
      <w:r>
        <w:rPr>
          <w:color w:val="000000"/>
        </w:rPr>
        <w:t xml:space="preserve"> in the </w:t>
      </w:r>
      <w:proofErr w:type="spellStart"/>
      <w:r>
        <w:rPr>
          <w:color w:val="000000"/>
        </w:rPr>
        <w:t>Returns</w:t>
      </w:r>
      <w:proofErr w:type="spellEnd"/>
      <w:r>
        <w:rPr>
          <w:color w:val="000000"/>
        </w:rPr>
        <w:t xml:space="preserve"> on Stocks and Bonds.” </w:t>
      </w:r>
      <w:r>
        <w:rPr>
          <w:i/>
          <w:color w:val="000000"/>
        </w:rPr>
        <w:t xml:space="preserve">Journal of Financial </w:t>
      </w:r>
      <w:proofErr w:type="spellStart"/>
      <w:r>
        <w:rPr>
          <w:i/>
          <w:color w:val="000000"/>
        </w:rPr>
        <w:t>Economics</w:t>
      </w:r>
      <w:proofErr w:type="spellEnd"/>
      <w:r>
        <w:rPr>
          <w:color w:val="000000"/>
        </w:rPr>
        <w:t xml:space="preserve"> 33 (1</w:t>
      </w:r>
      <w:proofErr w:type="gramStart"/>
      <w:r>
        <w:rPr>
          <w:color w:val="000000"/>
        </w:rPr>
        <w:t>):</w:t>
      </w:r>
      <w:proofErr w:type="gramEnd"/>
      <w:r>
        <w:rPr>
          <w:color w:val="000000"/>
        </w:rPr>
        <w:t xml:space="preserve"> 3–56. https://doi.org/10.1016/0304-405X(93)90023-5.</w:t>
      </w:r>
    </w:p>
    <w:p w14:paraId="480772C3" w14:textId="77777777" w:rsidR="00DB48E0" w:rsidRDefault="00000000">
      <w:pPr>
        <w:pBdr>
          <w:top w:val="nil"/>
          <w:left w:val="nil"/>
          <w:bottom w:val="nil"/>
          <w:right w:val="nil"/>
          <w:between w:val="nil"/>
        </w:pBdr>
        <w:spacing w:after="0" w:line="240" w:lineRule="auto"/>
        <w:ind w:left="720" w:hanging="720"/>
        <w:rPr>
          <w:color w:val="000000"/>
        </w:rPr>
      </w:pPr>
      <w:r>
        <w:rPr>
          <w:color w:val="000000"/>
        </w:rPr>
        <w:t xml:space="preserve">———. 1998. “Value versus </w:t>
      </w:r>
      <w:proofErr w:type="spellStart"/>
      <w:proofErr w:type="gramStart"/>
      <w:r>
        <w:rPr>
          <w:color w:val="000000"/>
        </w:rPr>
        <w:t>Growth</w:t>
      </w:r>
      <w:proofErr w:type="spellEnd"/>
      <w:r>
        <w:rPr>
          <w:color w:val="000000"/>
        </w:rPr>
        <w:t>:</w:t>
      </w:r>
      <w:proofErr w:type="gramEnd"/>
      <w:r>
        <w:rPr>
          <w:color w:val="000000"/>
        </w:rPr>
        <w:t xml:space="preserve"> The International Evidence.” </w:t>
      </w:r>
      <w:r>
        <w:rPr>
          <w:i/>
          <w:color w:val="000000"/>
        </w:rPr>
        <w:t>The Journal of Finance</w:t>
      </w:r>
      <w:r>
        <w:rPr>
          <w:color w:val="000000"/>
        </w:rPr>
        <w:t xml:space="preserve"> 53 (6</w:t>
      </w:r>
      <w:proofErr w:type="gramStart"/>
      <w:r>
        <w:rPr>
          <w:color w:val="000000"/>
        </w:rPr>
        <w:t>):</w:t>
      </w:r>
      <w:proofErr w:type="gramEnd"/>
      <w:r>
        <w:rPr>
          <w:color w:val="000000"/>
        </w:rPr>
        <w:t xml:space="preserve"> 1975–99. https://doi.org/10.1111/0022-1082.00080.</w:t>
      </w:r>
    </w:p>
    <w:p w14:paraId="60CA819F" w14:textId="77777777" w:rsidR="00DB48E0" w:rsidRDefault="00000000">
      <w:pPr>
        <w:pBdr>
          <w:top w:val="nil"/>
          <w:left w:val="nil"/>
          <w:bottom w:val="nil"/>
          <w:right w:val="nil"/>
          <w:between w:val="nil"/>
        </w:pBdr>
        <w:spacing w:after="0" w:line="240" w:lineRule="auto"/>
        <w:ind w:left="720" w:hanging="720"/>
        <w:rPr>
          <w:color w:val="000000"/>
        </w:rPr>
      </w:pPr>
      <w:r>
        <w:rPr>
          <w:color w:val="000000"/>
        </w:rPr>
        <w:t xml:space="preserve">———. 2006. “The Value Premium and the CAPM.” </w:t>
      </w:r>
      <w:r>
        <w:rPr>
          <w:i/>
          <w:color w:val="000000"/>
        </w:rPr>
        <w:t>The Journal of Finance</w:t>
      </w:r>
      <w:r>
        <w:rPr>
          <w:color w:val="000000"/>
        </w:rPr>
        <w:t xml:space="preserve"> 61 (5</w:t>
      </w:r>
      <w:proofErr w:type="gramStart"/>
      <w:r>
        <w:rPr>
          <w:color w:val="000000"/>
        </w:rPr>
        <w:t>):</w:t>
      </w:r>
      <w:proofErr w:type="gramEnd"/>
      <w:r>
        <w:rPr>
          <w:color w:val="000000"/>
        </w:rPr>
        <w:t xml:space="preserve"> 2163–85. https://doi.org/10.1111/j.1540-6261.2006.01054.x.</w:t>
      </w:r>
    </w:p>
    <w:p w14:paraId="53DBA859" w14:textId="77777777" w:rsidR="00DB48E0" w:rsidRDefault="00000000">
      <w:pPr>
        <w:pBdr>
          <w:top w:val="nil"/>
          <w:left w:val="nil"/>
          <w:bottom w:val="nil"/>
          <w:right w:val="nil"/>
          <w:between w:val="nil"/>
        </w:pBdr>
        <w:spacing w:after="0" w:line="240" w:lineRule="auto"/>
        <w:ind w:left="720" w:hanging="720"/>
        <w:rPr>
          <w:color w:val="000000"/>
        </w:rPr>
      </w:pPr>
      <w:r>
        <w:rPr>
          <w:color w:val="000000"/>
        </w:rPr>
        <w:t xml:space="preserve">———. 2015. “A Five-Factor Asset Pricing Model.” </w:t>
      </w:r>
      <w:r>
        <w:rPr>
          <w:i/>
          <w:color w:val="000000"/>
        </w:rPr>
        <w:t xml:space="preserve">Journal of Financial </w:t>
      </w:r>
      <w:proofErr w:type="spellStart"/>
      <w:r>
        <w:rPr>
          <w:i/>
          <w:color w:val="000000"/>
        </w:rPr>
        <w:t>Economics</w:t>
      </w:r>
      <w:proofErr w:type="spellEnd"/>
      <w:r>
        <w:rPr>
          <w:color w:val="000000"/>
        </w:rPr>
        <w:t xml:space="preserve"> 116 (1</w:t>
      </w:r>
      <w:proofErr w:type="gramStart"/>
      <w:r>
        <w:rPr>
          <w:color w:val="000000"/>
        </w:rPr>
        <w:t>):</w:t>
      </w:r>
      <w:proofErr w:type="gramEnd"/>
      <w:r>
        <w:rPr>
          <w:color w:val="000000"/>
        </w:rPr>
        <w:t xml:space="preserve"> 1–22. https://doi.org/10.1016/j.jfineco.2014.10.010.</w:t>
      </w:r>
    </w:p>
    <w:p w14:paraId="2CD63447" w14:textId="77777777" w:rsidR="00DB48E0" w:rsidRDefault="00000000">
      <w:pPr>
        <w:pBdr>
          <w:top w:val="nil"/>
          <w:left w:val="nil"/>
          <w:bottom w:val="nil"/>
          <w:right w:val="nil"/>
          <w:between w:val="nil"/>
        </w:pBdr>
        <w:spacing w:after="0" w:line="240" w:lineRule="auto"/>
        <w:ind w:left="720" w:hanging="720"/>
        <w:rPr>
          <w:color w:val="000000"/>
        </w:rPr>
      </w:pPr>
      <w:proofErr w:type="spellStart"/>
      <w:r>
        <w:rPr>
          <w:color w:val="000000"/>
        </w:rPr>
        <w:t>Froot</w:t>
      </w:r>
      <w:proofErr w:type="spellEnd"/>
      <w:r>
        <w:rPr>
          <w:color w:val="000000"/>
        </w:rPr>
        <w:t xml:space="preserve">, Kenneth, and Melvyn </w:t>
      </w:r>
      <w:proofErr w:type="spellStart"/>
      <w:r>
        <w:rPr>
          <w:color w:val="000000"/>
        </w:rPr>
        <w:t>Teo</w:t>
      </w:r>
      <w:proofErr w:type="spellEnd"/>
      <w:r>
        <w:rPr>
          <w:color w:val="000000"/>
        </w:rPr>
        <w:t xml:space="preserve">. 2008. “Style </w:t>
      </w:r>
      <w:proofErr w:type="spellStart"/>
      <w:r>
        <w:rPr>
          <w:color w:val="000000"/>
        </w:rPr>
        <w:t>Investing</w:t>
      </w:r>
      <w:proofErr w:type="spellEnd"/>
      <w:r>
        <w:rPr>
          <w:color w:val="000000"/>
        </w:rPr>
        <w:t xml:space="preserve"> and </w:t>
      </w:r>
      <w:proofErr w:type="spellStart"/>
      <w:r>
        <w:rPr>
          <w:color w:val="000000"/>
        </w:rPr>
        <w:t>Institutional</w:t>
      </w:r>
      <w:proofErr w:type="spellEnd"/>
      <w:r>
        <w:rPr>
          <w:color w:val="000000"/>
        </w:rPr>
        <w:t xml:space="preserve"> </w:t>
      </w:r>
      <w:proofErr w:type="spellStart"/>
      <w:r>
        <w:rPr>
          <w:color w:val="000000"/>
        </w:rPr>
        <w:t>Investors</w:t>
      </w:r>
      <w:proofErr w:type="spellEnd"/>
      <w:r>
        <w:rPr>
          <w:color w:val="000000"/>
        </w:rPr>
        <w:t xml:space="preserve">.” </w:t>
      </w:r>
      <w:r>
        <w:rPr>
          <w:i/>
          <w:color w:val="000000"/>
        </w:rPr>
        <w:t xml:space="preserve">Journal of Financial and Quantitative </w:t>
      </w:r>
      <w:proofErr w:type="spellStart"/>
      <w:r>
        <w:rPr>
          <w:i/>
          <w:color w:val="000000"/>
        </w:rPr>
        <w:t>Analysis</w:t>
      </w:r>
      <w:proofErr w:type="spellEnd"/>
      <w:r>
        <w:rPr>
          <w:color w:val="000000"/>
        </w:rPr>
        <w:t xml:space="preserve"> 43 (4</w:t>
      </w:r>
      <w:proofErr w:type="gramStart"/>
      <w:r>
        <w:rPr>
          <w:color w:val="000000"/>
        </w:rPr>
        <w:t>):</w:t>
      </w:r>
      <w:proofErr w:type="gramEnd"/>
      <w:r>
        <w:rPr>
          <w:color w:val="000000"/>
        </w:rPr>
        <w:t xml:space="preserve"> 883–906. https://doi.org/10.1017/S0022109000014381.</w:t>
      </w:r>
    </w:p>
    <w:p w14:paraId="30A04862" w14:textId="77777777" w:rsidR="00DB48E0" w:rsidRDefault="00000000">
      <w:pPr>
        <w:pBdr>
          <w:top w:val="nil"/>
          <w:left w:val="nil"/>
          <w:bottom w:val="nil"/>
          <w:right w:val="nil"/>
          <w:between w:val="nil"/>
        </w:pBdr>
        <w:spacing w:after="0" w:line="240" w:lineRule="auto"/>
        <w:ind w:left="720" w:hanging="720"/>
        <w:rPr>
          <w:color w:val="000000"/>
        </w:rPr>
      </w:pPr>
      <w:r>
        <w:rPr>
          <w:color w:val="000000"/>
        </w:rPr>
        <w:t xml:space="preserve">Griffin, John M., and Michael L. </w:t>
      </w:r>
      <w:proofErr w:type="spellStart"/>
      <w:r>
        <w:rPr>
          <w:color w:val="000000"/>
        </w:rPr>
        <w:t>Lemmon</w:t>
      </w:r>
      <w:proofErr w:type="spellEnd"/>
      <w:r>
        <w:rPr>
          <w:color w:val="000000"/>
        </w:rPr>
        <w:t>. 2002. “Book‐to‐</w:t>
      </w:r>
      <w:proofErr w:type="spellStart"/>
      <w:r>
        <w:rPr>
          <w:color w:val="000000"/>
        </w:rPr>
        <w:t>Market</w:t>
      </w:r>
      <w:proofErr w:type="spellEnd"/>
      <w:r>
        <w:rPr>
          <w:color w:val="000000"/>
        </w:rPr>
        <w:t xml:space="preserve"> </w:t>
      </w:r>
      <w:proofErr w:type="spellStart"/>
      <w:r>
        <w:rPr>
          <w:color w:val="000000"/>
        </w:rPr>
        <w:t>Equity</w:t>
      </w:r>
      <w:proofErr w:type="spellEnd"/>
      <w:r>
        <w:rPr>
          <w:color w:val="000000"/>
        </w:rPr>
        <w:t xml:space="preserve">, </w:t>
      </w:r>
      <w:proofErr w:type="spellStart"/>
      <w:r>
        <w:rPr>
          <w:color w:val="000000"/>
        </w:rPr>
        <w:t>Distress</w:t>
      </w:r>
      <w:proofErr w:type="spellEnd"/>
      <w:r>
        <w:rPr>
          <w:color w:val="000000"/>
        </w:rPr>
        <w:t xml:space="preserve"> Risk, and Stock </w:t>
      </w:r>
      <w:proofErr w:type="spellStart"/>
      <w:r>
        <w:rPr>
          <w:color w:val="000000"/>
        </w:rPr>
        <w:t>Returns</w:t>
      </w:r>
      <w:proofErr w:type="spellEnd"/>
      <w:r>
        <w:rPr>
          <w:color w:val="000000"/>
        </w:rPr>
        <w:t xml:space="preserve">.” </w:t>
      </w:r>
      <w:r>
        <w:rPr>
          <w:i/>
          <w:color w:val="000000"/>
        </w:rPr>
        <w:t>The Journal of Finance</w:t>
      </w:r>
      <w:r>
        <w:rPr>
          <w:color w:val="000000"/>
        </w:rPr>
        <w:t xml:space="preserve"> 57 (5</w:t>
      </w:r>
      <w:proofErr w:type="gramStart"/>
      <w:r>
        <w:rPr>
          <w:color w:val="000000"/>
        </w:rPr>
        <w:t>):</w:t>
      </w:r>
      <w:proofErr w:type="gramEnd"/>
      <w:r>
        <w:rPr>
          <w:color w:val="000000"/>
        </w:rPr>
        <w:t xml:space="preserve"> 2317–36. https://doi.org/10.1111/1540-6261.00497.</w:t>
      </w:r>
    </w:p>
    <w:p w14:paraId="1005A11C" w14:textId="77777777" w:rsidR="00DB48E0" w:rsidRDefault="00000000">
      <w:pPr>
        <w:pBdr>
          <w:top w:val="nil"/>
          <w:left w:val="nil"/>
          <w:bottom w:val="nil"/>
          <w:right w:val="nil"/>
          <w:between w:val="nil"/>
        </w:pBdr>
        <w:spacing w:after="0" w:line="240" w:lineRule="auto"/>
        <w:ind w:left="720" w:hanging="720"/>
        <w:rPr>
          <w:color w:val="000000"/>
        </w:rPr>
      </w:pPr>
      <w:proofErr w:type="spellStart"/>
      <w:r>
        <w:rPr>
          <w:color w:val="000000"/>
        </w:rPr>
        <w:t>Ibbotson</w:t>
      </w:r>
      <w:proofErr w:type="spellEnd"/>
      <w:r>
        <w:rPr>
          <w:color w:val="000000"/>
        </w:rPr>
        <w:t xml:space="preserve">, Roger G., </w:t>
      </w:r>
      <w:proofErr w:type="spellStart"/>
      <w:r>
        <w:rPr>
          <w:color w:val="000000"/>
        </w:rPr>
        <w:t>Zhiwu</w:t>
      </w:r>
      <w:proofErr w:type="spellEnd"/>
      <w:r>
        <w:rPr>
          <w:color w:val="000000"/>
        </w:rPr>
        <w:t xml:space="preserve"> Chen, Daniel Y.-J. Kim, and Wendy Y. Hu. 2013. “</w:t>
      </w:r>
      <w:proofErr w:type="spellStart"/>
      <w:r>
        <w:rPr>
          <w:color w:val="000000"/>
        </w:rPr>
        <w:t>Liquidity</w:t>
      </w:r>
      <w:proofErr w:type="spellEnd"/>
      <w:r>
        <w:rPr>
          <w:color w:val="000000"/>
        </w:rPr>
        <w:t xml:space="preserve"> as an Investment Style.” </w:t>
      </w:r>
      <w:r>
        <w:rPr>
          <w:i/>
          <w:color w:val="000000"/>
        </w:rPr>
        <w:t xml:space="preserve">Financial </w:t>
      </w:r>
      <w:proofErr w:type="spellStart"/>
      <w:r>
        <w:rPr>
          <w:i/>
          <w:color w:val="000000"/>
        </w:rPr>
        <w:t>Analysts</w:t>
      </w:r>
      <w:proofErr w:type="spellEnd"/>
      <w:r>
        <w:rPr>
          <w:i/>
          <w:color w:val="000000"/>
        </w:rPr>
        <w:t xml:space="preserve"> Journal</w:t>
      </w:r>
      <w:r>
        <w:rPr>
          <w:color w:val="000000"/>
        </w:rPr>
        <w:t>, May. https://doi.org/10.2469/faj.v69.n3.4.</w:t>
      </w:r>
    </w:p>
    <w:p w14:paraId="430269EA" w14:textId="77777777" w:rsidR="00DB48E0" w:rsidRDefault="00000000">
      <w:pPr>
        <w:pBdr>
          <w:top w:val="nil"/>
          <w:left w:val="nil"/>
          <w:bottom w:val="nil"/>
          <w:right w:val="nil"/>
          <w:between w:val="nil"/>
        </w:pBdr>
        <w:spacing w:after="0" w:line="240" w:lineRule="auto"/>
        <w:ind w:left="720" w:hanging="720"/>
        <w:rPr>
          <w:color w:val="000000"/>
        </w:rPr>
      </w:pPr>
      <w:proofErr w:type="spellStart"/>
      <w:r>
        <w:rPr>
          <w:color w:val="000000"/>
        </w:rPr>
        <w:t>Jegadeesh</w:t>
      </w:r>
      <w:proofErr w:type="spellEnd"/>
      <w:r>
        <w:rPr>
          <w:color w:val="000000"/>
        </w:rPr>
        <w:t xml:space="preserve">, Narasimhan, and Sheridan </w:t>
      </w:r>
      <w:proofErr w:type="spellStart"/>
      <w:r>
        <w:rPr>
          <w:color w:val="000000"/>
        </w:rPr>
        <w:t>Titman</w:t>
      </w:r>
      <w:proofErr w:type="spellEnd"/>
      <w:r>
        <w:rPr>
          <w:color w:val="000000"/>
        </w:rPr>
        <w:t>. 1993. “</w:t>
      </w:r>
      <w:proofErr w:type="spellStart"/>
      <w:r>
        <w:rPr>
          <w:color w:val="000000"/>
        </w:rPr>
        <w:t>Returns</w:t>
      </w:r>
      <w:proofErr w:type="spellEnd"/>
      <w:r>
        <w:rPr>
          <w:color w:val="000000"/>
        </w:rPr>
        <w:t xml:space="preserve"> to </w:t>
      </w:r>
      <w:proofErr w:type="spellStart"/>
      <w:r>
        <w:rPr>
          <w:color w:val="000000"/>
        </w:rPr>
        <w:t>Buying</w:t>
      </w:r>
      <w:proofErr w:type="spellEnd"/>
      <w:r>
        <w:rPr>
          <w:color w:val="000000"/>
        </w:rPr>
        <w:t xml:space="preserve"> Winners and </w:t>
      </w:r>
      <w:proofErr w:type="spellStart"/>
      <w:r>
        <w:rPr>
          <w:color w:val="000000"/>
        </w:rPr>
        <w:t>Selling</w:t>
      </w:r>
      <w:proofErr w:type="spellEnd"/>
      <w:r>
        <w:rPr>
          <w:color w:val="000000"/>
        </w:rPr>
        <w:t xml:space="preserve"> </w:t>
      </w:r>
      <w:proofErr w:type="gramStart"/>
      <w:r>
        <w:rPr>
          <w:color w:val="000000"/>
        </w:rPr>
        <w:t>Losers:</w:t>
      </w:r>
      <w:proofErr w:type="gramEnd"/>
      <w:r>
        <w:rPr>
          <w:color w:val="000000"/>
        </w:rPr>
        <w:t xml:space="preserve"> Implications for Stock </w:t>
      </w:r>
      <w:proofErr w:type="spellStart"/>
      <w:r>
        <w:rPr>
          <w:color w:val="000000"/>
        </w:rPr>
        <w:t>Market</w:t>
      </w:r>
      <w:proofErr w:type="spellEnd"/>
      <w:r>
        <w:rPr>
          <w:color w:val="000000"/>
        </w:rPr>
        <w:t xml:space="preserve"> </w:t>
      </w:r>
      <w:proofErr w:type="spellStart"/>
      <w:r>
        <w:rPr>
          <w:color w:val="000000"/>
        </w:rPr>
        <w:t>Efficiency</w:t>
      </w:r>
      <w:proofErr w:type="spellEnd"/>
      <w:r>
        <w:rPr>
          <w:color w:val="000000"/>
        </w:rPr>
        <w:t xml:space="preserve">.” </w:t>
      </w:r>
      <w:r>
        <w:rPr>
          <w:i/>
          <w:color w:val="000000"/>
        </w:rPr>
        <w:t>The Journal of Finance</w:t>
      </w:r>
      <w:r>
        <w:rPr>
          <w:color w:val="000000"/>
        </w:rPr>
        <w:t xml:space="preserve"> 48 (1</w:t>
      </w:r>
      <w:proofErr w:type="gramStart"/>
      <w:r>
        <w:rPr>
          <w:color w:val="000000"/>
        </w:rPr>
        <w:t>):</w:t>
      </w:r>
      <w:proofErr w:type="gramEnd"/>
      <w:r>
        <w:rPr>
          <w:color w:val="000000"/>
        </w:rPr>
        <w:t xml:space="preserve"> 65–91. https://doi.org/10.1111/j.1540-6261.1993.tb04702.x.</w:t>
      </w:r>
    </w:p>
    <w:p w14:paraId="4EA61F6E" w14:textId="77777777" w:rsidR="00DB48E0" w:rsidRDefault="00000000">
      <w:pPr>
        <w:pBdr>
          <w:top w:val="nil"/>
          <w:left w:val="nil"/>
          <w:bottom w:val="nil"/>
          <w:right w:val="nil"/>
          <w:between w:val="nil"/>
        </w:pBdr>
        <w:spacing w:after="0" w:line="240" w:lineRule="auto"/>
        <w:ind w:left="720" w:hanging="720"/>
        <w:rPr>
          <w:color w:val="000000"/>
        </w:rPr>
      </w:pPr>
      <w:proofErr w:type="spellStart"/>
      <w:r>
        <w:rPr>
          <w:color w:val="000000"/>
        </w:rPr>
        <w:t>Lintner</w:t>
      </w:r>
      <w:proofErr w:type="spellEnd"/>
      <w:r>
        <w:rPr>
          <w:color w:val="000000"/>
        </w:rPr>
        <w:t xml:space="preserve">, John. 1965. “Security </w:t>
      </w:r>
      <w:proofErr w:type="spellStart"/>
      <w:r>
        <w:rPr>
          <w:color w:val="000000"/>
        </w:rPr>
        <w:t>Prices</w:t>
      </w:r>
      <w:proofErr w:type="spellEnd"/>
      <w:r>
        <w:rPr>
          <w:color w:val="000000"/>
        </w:rPr>
        <w:t xml:space="preserve">, Risk, and Maximal Gains </w:t>
      </w:r>
      <w:proofErr w:type="spellStart"/>
      <w:r>
        <w:rPr>
          <w:color w:val="000000"/>
        </w:rPr>
        <w:t>From</w:t>
      </w:r>
      <w:proofErr w:type="spellEnd"/>
      <w:r>
        <w:rPr>
          <w:color w:val="000000"/>
        </w:rPr>
        <w:t xml:space="preserve"> Diversification.” </w:t>
      </w:r>
      <w:r>
        <w:rPr>
          <w:i/>
          <w:color w:val="000000"/>
        </w:rPr>
        <w:t>The Journal of Finance</w:t>
      </w:r>
      <w:r>
        <w:rPr>
          <w:color w:val="000000"/>
        </w:rPr>
        <w:t xml:space="preserve"> 20 (4</w:t>
      </w:r>
      <w:proofErr w:type="gramStart"/>
      <w:r>
        <w:rPr>
          <w:color w:val="000000"/>
        </w:rPr>
        <w:t>):</w:t>
      </w:r>
      <w:proofErr w:type="gramEnd"/>
      <w:r>
        <w:rPr>
          <w:color w:val="000000"/>
        </w:rPr>
        <w:t xml:space="preserve"> 587–615. https://doi.org/10.2307/2977249.</w:t>
      </w:r>
    </w:p>
    <w:p w14:paraId="5610AE9A" w14:textId="77777777" w:rsidR="00DB48E0" w:rsidRDefault="00000000">
      <w:pPr>
        <w:pBdr>
          <w:top w:val="nil"/>
          <w:left w:val="nil"/>
          <w:bottom w:val="nil"/>
          <w:right w:val="nil"/>
          <w:between w:val="nil"/>
        </w:pBdr>
        <w:spacing w:after="0" w:line="240" w:lineRule="auto"/>
        <w:ind w:left="720" w:hanging="720"/>
        <w:rPr>
          <w:color w:val="000000"/>
        </w:rPr>
      </w:pPr>
      <w:proofErr w:type="spellStart"/>
      <w:r>
        <w:rPr>
          <w:color w:val="000000"/>
        </w:rPr>
        <w:t>Mossin</w:t>
      </w:r>
      <w:proofErr w:type="spellEnd"/>
      <w:r>
        <w:rPr>
          <w:color w:val="000000"/>
        </w:rPr>
        <w:t>, Jan. 1966. “</w:t>
      </w:r>
      <w:proofErr w:type="spellStart"/>
      <w:r>
        <w:rPr>
          <w:color w:val="000000"/>
        </w:rPr>
        <w:t>Equilibrium</w:t>
      </w:r>
      <w:proofErr w:type="spellEnd"/>
      <w:r>
        <w:rPr>
          <w:color w:val="000000"/>
        </w:rPr>
        <w:t xml:space="preserve"> in </w:t>
      </w:r>
      <w:proofErr w:type="gramStart"/>
      <w:r>
        <w:rPr>
          <w:color w:val="000000"/>
        </w:rPr>
        <w:t>a</w:t>
      </w:r>
      <w:proofErr w:type="gramEnd"/>
      <w:r>
        <w:rPr>
          <w:color w:val="000000"/>
        </w:rPr>
        <w:t xml:space="preserve"> Capital Asset </w:t>
      </w:r>
      <w:proofErr w:type="spellStart"/>
      <w:r>
        <w:rPr>
          <w:color w:val="000000"/>
        </w:rPr>
        <w:t>Market</w:t>
      </w:r>
      <w:proofErr w:type="spellEnd"/>
      <w:r>
        <w:rPr>
          <w:color w:val="000000"/>
        </w:rPr>
        <w:t xml:space="preserve">.” </w:t>
      </w:r>
      <w:proofErr w:type="spellStart"/>
      <w:r>
        <w:rPr>
          <w:i/>
          <w:color w:val="000000"/>
        </w:rPr>
        <w:t>Econometrica</w:t>
      </w:r>
      <w:proofErr w:type="spellEnd"/>
      <w:r>
        <w:rPr>
          <w:color w:val="000000"/>
        </w:rPr>
        <w:t xml:space="preserve"> 34 (4</w:t>
      </w:r>
      <w:proofErr w:type="gramStart"/>
      <w:r>
        <w:rPr>
          <w:color w:val="000000"/>
        </w:rPr>
        <w:t>):</w:t>
      </w:r>
      <w:proofErr w:type="gramEnd"/>
      <w:r>
        <w:rPr>
          <w:color w:val="000000"/>
        </w:rPr>
        <w:t xml:space="preserve"> 768–83. https://doi.org/10.2307/1910098.</w:t>
      </w:r>
    </w:p>
    <w:p w14:paraId="59073C82" w14:textId="77777777" w:rsidR="00DB48E0" w:rsidRDefault="00000000">
      <w:pPr>
        <w:pBdr>
          <w:top w:val="nil"/>
          <w:left w:val="nil"/>
          <w:bottom w:val="nil"/>
          <w:right w:val="nil"/>
          <w:between w:val="nil"/>
        </w:pBdr>
        <w:spacing w:after="0" w:line="240" w:lineRule="auto"/>
        <w:ind w:left="720" w:hanging="720"/>
        <w:rPr>
          <w:color w:val="000000"/>
        </w:rPr>
      </w:pPr>
      <w:proofErr w:type="spellStart"/>
      <w:r>
        <w:rPr>
          <w:color w:val="000000"/>
        </w:rPr>
        <w:t>Piotroski</w:t>
      </w:r>
      <w:proofErr w:type="spellEnd"/>
      <w:r>
        <w:rPr>
          <w:color w:val="000000"/>
        </w:rPr>
        <w:t xml:space="preserve">, Joseph D. 2000. “Value </w:t>
      </w:r>
      <w:proofErr w:type="spellStart"/>
      <w:proofErr w:type="gramStart"/>
      <w:r>
        <w:rPr>
          <w:color w:val="000000"/>
        </w:rPr>
        <w:t>Investing</w:t>
      </w:r>
      <w:proofErr w:type="spellEnd"/>
      <w:r>
        <w:rPr>
          <w:color w:val="000000"/>
        </w:rPr>
        <w:t>:</w:t>
      </w:r>
      <w:proofErr w:type="gramEnd"/>
      <w:r>
        <w:rPr>
          <w:color w:val="000000"/>
        </w:rPr>
        <w:t xml:space="preserve"> The Use of </w:t>
      </w:r>
      <w:proofErr w:type="spellStart"/>
      <w:r>
        <w:rPr>
          <w:color w:val="000000"/>
        </w:rPr>
        <w:t>Historical</w:t>
      </w:r>
      <w:proofErr w:type="spellEnd"/>
      <w:r>
        <w:rPr>
          <w:color w:val="000000"/>
        </w:rPr>
        <w:t xml:space="preserve"> Financial </w:t>
      </w:r>
      <w:proofErr w:type="spellStart"/>
      <w:r>
        <w:rPr>
          <w:color w:val="000000"/>
        </w:rPr>
        <w:t>Statement</w:t>
      </w:r>
      <w:proofErr w:type="spellEnd"/>
      <w:r>
        <w:rPr>
          <w:color w:val="000000"/>
        </w:rPr>
        <w:t xml:space="preserve"> Information to </w:t>
      </w:r>
      <w:proofErr w:type="spellStart"/>
      <w:r>
        <w:rPr>
          <w:color w:val="000000"/>
        </w:rPr>
        <w:t>Separate</w:t>
      </w:r>
      <w:proofErr w:type="spellEnd"/>
      <w:r>
        <w:rPr>
          <w:color w:val="000000"/>
        </w:rPr>
        <w:t xml:space="preserve"> Winners </w:t>
      </w:r>
      <w:proofErr w:type="spellStart"/>
      <w:r>
        <w:rPr>
          <w:color w:val="000000"/>
        </w:rPr>
        <w:t>from</w:t>
      </w:r>
      <w:proofErr w:type="spellEnd"/>
      <w:r>
        <w:rPr>
          <w:color w:val="000000"/>
        </w:rPr>
        <w:t xml:space="preserve"> Losers.” </w:t>
      </w:r>
      <w:r>
        <w:rPr>
          <w:i/>
          <w:color w:val="000000"/>
        </w:rPr>
        <w:t xml:space="preserve">Journal of </w:t>
      </w:r>
      <w:proofErr w:type="spellStart"/>
      <w:r>
        <w:rPr>
          <w:i/>
          <w:color w:val="000000"/>
        </w:rPr>
        <w:t>Accounting</w:t>
      </w:r>
      <w:proofErr w:type="spellEnd"/>
      <w:r>
        <w:rPr>
          <w:i/>
          <w:color w:val="000000"/>
        </w:rPr>
        <w:t xml:space="preserve"> </w:t>
      </w:r>
      <w:proofErr w:type="spellStart"/>
      <w:r>
        <w:rPr>
          <w:i/>
          <w:color w:val="000000"/>
        </w:rPr>
        <w:t>Research</w:t>
      </w:r>
      <w:proofErr w:type="spellEnd"/>
      <w:r>
        <w:rPr>
          <w:color w:val="000000"/>
        </w:rPr>
        <w:t xml:space="preserve"> </w:t>
      </w:r>
      <w:proofErr w:type="gramStart"/>
      <w:r>
        <w:rPr>
          <w:color w:val="000000"/>
        </w:rPr>
        <w:t>38:</w:t>
      </w:r>
      <w:proofErr w:type="gramEnd"/>
      <w:r>
        <w:rPr>
          <w:color w:val="000000"/>
        </w:rPr>
        <w:t>1. https://doi.org/10.2307/2672906.</w:t>
      </w:r>
    </w:p>
    <w:p w14:paraId="05A93D05" w14:textId="77777777" w:rsidR="00DB48E0" w:rsidRDefault="00000000">
      <w:pPr>
        <w:pBdr>
          <w:top w:val="nil"/>
          <w:left w:val="nil"/>
          <w:bottom w:val="nil"/>
          <w:right w:val="nil"/>
          <w:between w:val="nil"/>
        </w:pBdr>
        <w:spacing w:after="0" w:line="240" w:lineRule="auto"/>
        <w:ind w:left="720" w:hanging="720"/>
        <w:rPr>
          <w:color w:val="000000"/>
        </w:rPr>
      </w:pPr>
      <w:r>
        <w:rPr>
          <w:color w:val="000000"/>
        </w:rPr>
        <w:t xml:space="preserve">Ross, Stephen A. 1976. “The Arbitrage Theory of Capital Asset Pricing.” </w:t>
      </w:r>
      <w:r>
        <w:rPr>
          <w:i/>
          <w:color w:val="000000"/>
        </w:rPr>
        <w:t xml:space="preserve">Journal of </w:t>
      </w:r>
      <w:proofErr w:type="spellStart"/>
      <w:r>
        <w:rPr>
          <w:i/>
          <w:color w:val="000000"/>
        </w:rPr>
        <w:t>Economic</w:t>
      </w:r>
      <w:proofErr w:type="spellEnd"/>
      <w:r>
        <w:rPr>
          <w:i/>
          <w:color w:val="000000"/>
        </w:rPr>
        <w:t xml:space="preserve"> Theory</w:t>
      </w:r>
      <w:r>
        <w:rPr>
          <w:color w:val="000000"/>
        </w:rPr>
        <w:t xml:space="preserve"> 13 (3</w:t>
      </w:r>
      <w:proofErr w:type="gramStart"/>
      <w:r>
        <w:rPr>
          <w:color w:val="000000"/>
        </w:rPr>
        <w:t>):</w:t>
      </w:r>
      <w:proofErr w:type="gramEnd"/>
      <w:r>
        <w:rPr>
          <w:color w:val="000000"/>
        </w:rPr>
        <w:t xml:space="preserve"> 341–60. https://doi.org/10.1016/0022-0531(76)90046-6.</w:t>
      </w:r>
    </w:p>
    <w:p w14:paraId="48968A9C" w14:textId="77777777" w:rsidR="00DB48E0" w:rsidRDefault="00000000">
      <w:pPr>
        <w:pBdr>
          <w:top w:val="nil"/>
          <w:left w:val="nil"/>
          <w:bottom w:val="nil"/>
          <w:right w:val="nil"/>
          <w:between w:val="nil"/>
        </w:pBdr>
        <w:spacing w:after="0" w:line="240" w:lineRule="auto"/>
        <w:ind w:left="720" w:hanging="720"/>
        <w:rPr>
          <w:color w:val="000000"/>
        </w:rPr>
      </w:pPr>
      <w:r>
        <w:rPr>
          <w:color w:val="000000"/>
        </w:rPr>
        <w:t xml:space="preserve">Sharpe, William F. 1964. “CAPITAL ASSET </w:t>
      </w:r>
      <w:proofErr w:type="gramStart"/>
      <w:r>
        <w:rPr>
          <w:color w:val="000000"/>
        </w:rPr>
        <w:t>PRICES:</w:t>
      </w:r>
      <w:proofErr w:type="gramEnd"/>
      <w:r>
        <w:rPr>
          <w:color w:val="000000"/>
        </w:rPr>
        <w:t xml:space="preserve"> A THEORY OF MARKET EQUILIBRIUM UNDER CONDITIONS OF RISK*.” </w:t>
      </w:r>
      <w:r>
        <w:rPr>
          <w:i/>
          <w:color w:val="000000"/>
        </w:rPr>
        <w:t>The Journal of Finance</w:t>
      </w:r>
      <w:r>
        <w:rPr>
          <w:color w:val="000000"/>
        </w:rPr>
        <w:t xml:space="preserve"> 19 (3</w:t>
      </w:r>
      <w:proofErr w:type="gramStart"/>
      <w:r>
        <w:rPr>
          <w:color w:val="000000"/>
        </w:rPr>
        <w:t>):</w:t>
      </w:r>
      <w:proofErr w:type="gramEnd"/>
      <w:r>
        <w:rPr>
          <w:color w:val="000000"/>
        </w:rPr>
        <w:t xml:space="preserve"> 425–42. https://doi.org/10.1111/j.1540-6261.1964.tb02865.x.</w:t>
      </w:r>
    </w:p>
    <w:p w14:paraId="52505970" w14:textId="77777777" w:rsidR="00DB48E0" w:rsidRDefault="00000000">
      <w:pPr>
        <w:pBdr>
          <w:top w:val="nil"/>
          <w:left w:val="nil"/>
          <w:bottom w:val="nil"/>
          <w:right w:val="nil"/>
          <w:between w:val="nil"/>
        </w:pBdr>
        <w:spacing w:after="0" w:line="240" w:lineRule="auto"/>
        <w:ind w:left="720" w:hanging="720"/>
        <w:rPr>
          <w:color w:val="000000"/>
        </w:rPr>
      </w:pPr>
      <w:proofErr w:type="spellStart"/>
      <w:r>
        <w:rPr>
          <w:color w:val="000000"/>
        </w:rPr>
        <w:t>Treynor</w:t>
      </w:r>
      <w:proofErr w:type="spellEnd"/>
      <w:r>
        <w:rPr>
          <w:color w:val="000000"/>
        </w:rPr>
        <w:t>, Jack L. 1961. “</w:t>
      </w:r>
      <w:proofErr w:type="spellStart"/>
      <w:r>
        <w:rPr>
          <w:color w:val="000000"/>
        </w:rPr>
        <w:t>Market</w:t>
      </w:r>
      <w:proofErr w:type="spellEnd"/>
      <w:r>
        <w:rPr>
          <w:color w:val="000000"/>
        </w:rPr>
        <w:t xml:space="preserve"> Value, Time, and Risk.” </w:t>
      </w:r>
      <w:r>
        <w:rPr>
          <w:i/>
          <w:color w:val="000000"/>
        </w:rPr>
        <w:t xml:space="preserve">SSRN </w:t>
      </w:r>
      <w:proofErr w:type="spellStart"/>
      <w:r>
        <w:rPr>
          <w:i/>
          <w:color w:val="000000"/>
        </w:rPr>
        <w:t>Electronic</w:t>
      </w:r>
      <w:proofErr w:type="spellEnd"/>
      <w:r>
        <w:rPr>
          <w:i/>
          <w:color w:val="000000"/>
        </w:rPr>
        <w:t xml:space="preserve"> Journal</w:t>
      </w:r>
      <w:r>
        <w:rPr>
          <w:color w:val="000000"/>
        </w:rPr>
        <w:t>. https://doi.org/10.2139/ssrn.2600356.</w:t>
      </w:r>
    </w:p>
    <w:p w14:paraId="6F840490" w14:textId="77777777" w:rsidR="00DB48E0" w:rsidRDefault="00000000">
      <w:pPr>
        <w:pBdr>
          <w:top w:val="nil"/>
          <w:left w:val="nil"/>
          <w:bottom w:val="nil"/>
          <w:right w:val="nil"/>
          <w:between w:val="nil"/>
        </w:pBdr>
        <w:spacing w:after="0" w:line="240" w:lineRule="auto"/>
        <w:ind w:left="720" w:hanging="720"/>
        <w:rPr>
          <w:color w:val="000000"/>
        </w:rPr>
      </w:pPr>
      <w:r>
        <w:rPr>
          <w:color w:val="000000"/>
        </w:rPr>
        <w:t xml:space="preserve">Wahal, Sunil, and M. Deniz </w:t>
      </w:r>
      <w:proofErr w:type="spellStart"/>
      <w:r>
        <w:rPr>
          <w:color w:val="000000"/>
        </w:rPr>
        <w:t>Yavuz</w:t>
      </w:r>
      <w:proofErr w:type="spellEnd"/>
      <w:r>
        <w:rPr>
          <w:color w:val="000000"/>
        </w:rPr>
        <w:t xml:space="preserve">. 2013. “Style </w:t>
      </w:r>
      <w:proofErr w:type="spellStart"/>
      <w:r>
        <w:rPr>
          <w:color w:val="000000"/>
        </w:rPr>
        <w:t>Investing</w:t>
      </w:r>
      <w:proofErr w:type="spellEnd"/>
      <w:r>
        <w:rPr>
          <w:color w:val="000000"/>
        </w:rPr>
        <w:t xml:space="preserve">, </w:t>
      </w:r>
      <w:proofErr w:type="spellStart"/>
      <w:r>
        <w:rPr>
          <w:color w:val="000000"/>
        </w:rPr>
        <w:t>Comovement</w:t>
      </w:r>
      <w:proofErr w:type="spellEnd"/>
      <w:r>
        <w:rPr>
          <w:color w:val="000000"/>
        </w:rPr>
        <w:t xml:space="preserve"> and Return </w:t>
      </w:r>
      <w:proofErr w:type="spellStart"/>
      <w:r>
        <w:rPr>
          <w:color w:val="000000"/>
        </w:rPr>
        <w:t>Predictability</w:t>
      </w:r>
      <w:proofErr w:type="spellEnd"/>
      <w:r>
        <w:rPr>
          <w:color w:val="000000"/>
        </w:rPr>
        <w:t xml:space="preserve">.” </w:t>
      </w:r>
      <w:r>
        <w:rPr>
          <w:i/>
          <w:color w:val="000000"/>
        </w:rPr>
        <w:t xml:space="preserve">Journal of Financial </w:t>
      </w:r>
      <w:proofErr w:type="spellStart"/>
      <w:r>
        <w:rPr>
          <w:i/>
          <w:color w:val="000000"/>
        </w:rPr>
        <w:t>Economics</w:t>
      </w:r>
      <w:proofErr w:type="spellEnd"/>
      <w:r>
        <w:rPr>
          <w:color w:val="000000"/>
        </w:rPr>
        <w:t xml:space="preserve"> 107 (1</w:t>
      </w:r>
      <w:proofErr w:type="gramStart"/>
      <w:r>
        <w:rPr>
          <w:color w:val="000000"/>
        </w:rPr>
        <w:t>):</w:t>
      </w:r>
      <w:proofErr w:type="gramEnd"/>
      <w:r>
        <w:rPr>
          <w:color w:val="000000"/>
        </w:rPr>
        <w:t xml:space="preserve"> 136–54. https://doi.org/10.1016/j.jfineco.2012.08.005.</w:t>
      </w:r>
    </w:p>
    <w:p w14:paraId="36AFF137" w14:textId="77777777" w:rsidR="00DB48E0" w:rsidRDefault="00000000">
      <w:pPr>
        <w:spacing w:before="0" w:after="200" w:line="276" w:lineRule="auto"/>
        <w:jc w:val="left"/>
      </w:pPr>
      <w:r>
        <w:br w:type="page"/>
      </w:r>
      <w:r>
        <w:lastRenderedPageBreak/>
        <w:t>NOTES</w:t>
      </w:r>
    </w:p>
    <w:p w14:paraId="16C589D9" w14:textId="77777777" w:rsidR="00DB48E0" w:rsidRDefault="00000000">
      <w:pPr>
        <w:spacing w:before="0" w:after="200" w:line="276" w:lineRule="auto"/>
        <w:jc w:val="left"/>
      </w:pPr>
      <w:r>
        <w:t>..................................................................................................................................................................................................................................................................................................................................................................................................................................................................................................................................................................................................................................................................................................................................................................................................................................................................................................................................................................................................................................................................................................................................................................................................................................................................................................................................................................................................................................................................................................................................................................................................................................................................................................................................................................................................................................................................................................................................................................................................................................................................................................................................................................................................................................................................................................................................................................................................................................................................................................................................................................................................................................................................................................................................................................................................................................................................................................................................................................................................................................................................................................................................................................................................................................................................................................................................................................................................................................................................................................................................................................................................................................................................................................................................................................................................................................................................................................................................................................................................................................................................................................................................................................................................................................................................................................................................................................................................................................................................................................................................................................................................................................................................................................................................................................................................................................................................................................................................................................................................................................................................................................................................................................................................................................................................................................................................................................................................................................................................................................................................................................................................................................................................................................................................................................................................................................................................................................................................................................................................................................................................................................................................................................................................................................................................................................................................................................................................................................................................................................................................................................................................................................................................................................................................................................................................................................................................................................................................................................................................................................................................................................................................................................................................................................................................................................................................................................................................................................................................................................................................................................................................................................................................................................................................................................................................................................................................................................................................................................................................................................................................................................................................................................................................................................................................................................................................................................................................................................................................................................................................................................................................................................................................................................................................................................................................................................................................................................................................................................................................................................................................................................................................................................................................................................................................................................................................................................................................................................................................................................................................................................................</w:t>
      </w:r>
    </w:p>
    <w:sectPr w:rsidR="00DB48E0">
      <w:pgSz w:w="11907" w:h="16839"/>
      <w:pgMar w:top="1418" w:right="1418" w:bottom="1418"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8579BB" w14:textId="77777777" w:rsidR="00E57DF4" w:rsidRDefault="00E57DF4">
      <w:pPr>
        <w:spacing w:before="0" w:after="0" w:line="240" w:lineRule="auto"/>
      </w:pPr>
      <w:r>
        <w:separator/>
      </w:r>
    </w:p>
  </w:endnote>
  <w:endnote w:type="continuationSeparator" w:id="0">
    <w:p w14:paraId="4FB535D9" w14:textId="77777777" w:rsidR="00E57DF4" w:rsidRDefault="00E57DF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6A660BD6-2F9A-487C-84B9-2EF10189966E}"/>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22532951-6351-4A09-BA1C-AA2E10F8E76D}"/>
    <w:embedBold r:id="rId3" w:fontKey="{9EE6F1EF-8C4D-4C0E-84B1-4096FCCD53CB}"/>
    <w:embedItalic r:id="rId4" w:fontKey="{11B95FC5-7972-4E35-857C-FB0C1237177C}"/>
    <w:embedBoldItalic r:id="rId5" w:fontKey="{47A86F92-D413-480F-BE97-1743F4A602A5}"/>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B1CD8CCD-A4C6-437C-83CE-4E565F6E4439}"/>
  </w:font>
  <w:font w:name="Calibri">
    <w:panose1 w:val="020F0502020204030204"/>
    <w:charset w:val="00"/>
    <w:family w:val="swiss"/>
    <w:pitch w:val="variable"/>
    <w:sig w:usb0="E4002EFF" w:usb1="C000247B" w:usb2="00000009" w:usb3="00000000" w:csb0="000001FF" w:csb1="00000000"/>
    <w:embedRegular r:id="rId7" w:fontKey="{06ACB5DC-BCD0-40C4-8BAF-1B4709243FED}"/>
    <w:embedBoldItalic r:id="rId8" w:fontKey="{EDB1A40E-B80D-44BC-AC62-82995D6A249C}"/>
  </w:font>
  <w:font w:name="Cambria Math">
    <w:panose1 w:val="02040503050406030204"/>
    <w:charset w:val="00"/>
    <w:family w:val="roman"/>
    <w:pitch w:val="variable"/>
    <w:sig w:usb0="E00006FF" w:usb1="420024FF" w:usb2="02000000" w:usb3="00000000" w:csb0="0000019F" w:csb1="00000000"/>
    <w:embedRegular r:id="rId9" w:fontKey="{9900F4A3-F0B7-4987-B547-53AB273C7F39}"/>
    <w:embedItalic r:id="rId10" w:fontKey="{A9AEA0CF-2E73-4EAF-992E-07486DDD84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37DE9" w14:textId="77777777" w:rsidR="00DB48E0" w:rsidRDefault="00DB48E0">
    <w:pPr>
      <w:pBdr>
        <w:top w:val="nil"/>
        <w:left w:val="nil"/>
        <w:bottom w:val="nil"/>
        <w:right w:val="nil"/>
        <w:between w:val="nil"/>
      </w:pBdr>
      <w:tabs>
        <w:tab w:val="center" w:pos="4703"/>
        <w:tab w:val="right" w:pos="9406"/>
      </w:tabs>
      <w:spacing w:line="240" w:lineRule="auto"/>
      <w:jc w:val="right"/>
      <w:rPr>
        <w:color w:val="000000"/>
        <w:sz w:val="18"/>
        <w:szCs w:val="18"/>
      </w:rPr>
    </w:pPr>
  </w:p>
  <w:p w14:paraId="3F32361A" w14:textId="77777777" w:rsidR="00DB48E0" w:rsidRDefault="00DB48E0">
    <w:pPr>
      <w:pBdr>
        <w:top w:val="nil"/>
        <w:left w:val="nil"/>
        <w:bottom w:val="nil"/>
        <w:right w:val="nil"/>
        <w:between w:val="nil"/>
      </w:pBdr>
      <w:tabs>
        <w:tab w:val="center" w:pos="4703"/>
        <w:tab w:val="right" w:pos="9406"/>
      </w:tabs>
      <w:spacing w:line="240" w:lineRule="auto"/>
      <w:rPr>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9145D" w14:textId="6EFEC63F" w:rsidR="00DB48E0" w:rsidRDefault="00000000">
    <w:pPr>
      <w:pBdr>
        <w:top w:val="nil"/>
        <w:left w:val="nil"/>
        <w:bottom w:val="nil"/>
        <w:right w:val="nil"/>
        <w:between w:val="nil"/>
      </w:pBdr>
      <w:tabs>
        <w:tab w:val="center" w:pos="4703"/>
        <w:tab w:val="right" w:pos="9406"/>
      </w:tabs>
      <w:spacing w:line="240" w:lineRule="auto"/>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sidR="00F12F6E">
      <w:rPr>
        <w:noProof/>
        <w:color w:val="000000"/>
        <w:sz w:val="18"/>
        <w:szCs w:val="18"/>
      </w:rPr>
      <w:t>1</w:t>
    </w:r>
    <w:r>
      <w:rPr>
        <w:color w:val="000000"/>
        <w:sz w:val="18"/>
        <w:szCs w:val="18"/>
      </w:rPr>
      <w:fldChar w:fldCharType="end"/>
    </w:r>
  </w:p>
  <w:p w14:paraId="246F2F0B" w14:textId="77777777" w:rsidR="00DB48E0" w:rsidRDefault="00DB48E0">
    <w:pPr>
      <w:pBdr>
        <w:top w:val="nil"/>
        <w:left w:val="nil"/>
        <w:bottom w:val="nil"/>
        <w:right w:val="nil"/>
        <w:between w:val="nil"/>
      </w:pBdr>
      <w:tabs>
        <w:tab w:val="center" w:pos="4703"/>
        <w:tab w:val="right" w:pos="9406"/>
      </w:tabs>
      <w:spacing w:line="240" w:lineRule="auto"/>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2FD94D" w14:textId="77777777" w:rsidR="00E57DF4" w:rsidRDefault="00E57DF4">
      <w:pPr>
        <w:spacing w:before="0" w:after="0" w:line="240" w:lineRule="auto"/>
      </w:pPr>
      <w:r>
        <w:separator/>
      </w:r>
    </w:p>
  </w:footnote>
  <w:footnote w:type="continuationSeparator" w:id="0">
    <w:p w14:paraId="6A633F81" w14:textId="77777777" w:rsidR="00E57DF4" w:rsidRDefault="00E57DF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460A8" w14:textId="77777777" w:rsidR="00DB48E0" w:rsidRDefault="00DB48E0">
    <w:pPr>
      <w:pBdr>
        <w:top w:val="nil"/>
        <w:left w:val="nil"/>
        <w:bottom w:val="nil"/>
        <w:right w:val="nil"/>
        <w:between w:val="nil"/>
      </w:pBdr>
      <w:tabs>
        <w:tab w:val="center" w:pos="4703"/>
        <w:tab w:val="right" w:pos="9406"/>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F750619"/>
    <w:multiLevelType w:val="multilevel"/>
    <w:tmpl w:val="4BBE3F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65AC4365"/>
    <w:multiLevelType w:val="multilevel"/>
    <w:tmpl w:val="57D851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6ED24370"/>
    <w:multiLevelType w:val="multilevel"/>
    <w:tmpl w:val="BA7E1014"/>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num w:numId="1" w16cid:durableId="1868176212">
    <w:abstractNumId w:val="2"/>
  </w:num>
  <w:num w:numId="2" w16cid:durableId="2088570715">
    <w:abstractNumId w:val="1"/>
  </w:num>
  <w:num w:numId="3" w16cid:durableId="9106965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48E0"/>
    <w:rsid w:val="000F2E9B"/>
    <w:rsid w:val="00201717"/>
    <w:rsid w:val="0035771D"/>
    <w:rsid w:val="004D7D3B"/>
    <w:rsid w:val="0056024F"/>
    <w:rsid w:val="005F2F73"/>
    <w:rsid w:val="0070384B"/>
    <w:rsid w:val="00750103"/>
    <w:rsid w:val="00797947"/>
    <w:rsid w:val="008A299E"/>
    <w:rsid w:val="0091403A"/>
    <w:rsid w:val="00914AA9"/>
    <w:rsid w:val="0096046B"/>
    <w:rsid w:val="009B41A4"/>
    <w:rsid w:val="00A27748"/>
    <w:rsid w:val="00C640ED"/>
    <w:rsid w:val="00DB48E0"/>
    <w:rsid w:val="00E47C7B"/>
    <w:rsid w:val="00E57DF4"/>
    <w:rsid w:val="00F12F6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D551A"/>
  <w15:docId w15:val="{03807607-6985-408C-9BEC-1ABA4BCC6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lang w:val="fr-FR" w:eastAsia="fr-FR"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FCE"/>
  </w:style>
  <w:style w:type="paragraph" w:styleId="Titre1">
    <w:name w:val="heading 1"/>
    <w:basedOn w:val="Normal"/>
    <w:next w:val="Normal"/>
    <w:link w:val="Titre1Car"/>
    <w:uiPriority w:val="9"/>
    <w:qFormat/>
    <w:rsid w:val="00B772F3"/>
    <w:pPr>
      <w:keepNext/>
      <w:keepLines/>
      <w:numPr>
        <w:numId w:val="1"/>
      </w:numPr>
      <w:spacing w:before="480" w:after="240"/>
      <w:outlineLvl w:val="0"/>
    </w:pPr>
    <w:rPr>
      <w:rFonts w:asciiTheme="majorHAnsi" w:eastAsiaTheme="majorEastAsia" w:hAnsiTheme="majorHAnsi" w:cstheme="majorBidi"/>
      <w:b/>
      <w:bCs/>
      <w:color w:val="000000" w:themeColor="text1"/>
      <w:sz w:val="28"/>
      <w:szCs w:val="28"/>
    </w:rPr>
  </w:style>
  <w:style w:type="paragraph" w:styleId="Titre2">
    <w:name w:val="heading 2"/>
    <w:basedOn w:val="Normal"/>
    <w:next w:val="Normal"/>
    <w:link w:val="Titre2Car"/>
    <w:uiPriority w:val="9"/>
    <w:unhideWhenUsed/>
    <w:qFormat/>
    <w:rsid w:val="00B772F3"/>
    <w:pPr>
      <w:keepNext/>
      <w:keepLines/>
      <w:numPr>
        <w:ilvl w:val="1"/>
        <w:numId w:val="1"/>
      </w:numPr>
      <w:spacing w:before="480" w:after="240"/>
      <w:ind w:left="578" w:hanging="578"/>
      <w:outlineLvl w:val="1"/>
    </w:pPr>
    <w:rPr>
      <w:rFonts w:eastAsiaTheme="majorEastAsia" w:cstheme="majorBidi"/>
      <w:b/>
      <w:bCs/>
      <w:color w:val="000000" w:themeColor="text1"/>
      <w:sz w:val="24"/>
      <w:szCs w:val="26"/>
    </w:rPr>
  </w:style>
  <w:style w:type="paragraph" w:styleId="Titre3">
    <w:name w:val="heading 3"/>
    <w:basedOn w:val="Normal"/>
    <w:next w:val="Normal"/>
    <w:link w:val="Titre3Car"/>
    <w:uiPriority w:val="9"/>
    <w:unhideWhenUsed/>
    <w:qFormat/>
    <w:rsid w:val="006F0B54"/>
    <w:pPr>
      <w:keepNext/>
      <w:keepLines/>
      <w:numPr>
        <w:ilvl w:val="2"/>
        <w:numId w:val="1"/>
      </w:numPr>
      <w:spacing w:before="200" w:after="0"/>
      <w:outlineLvl w:val="2"/>
    </w:pPr>
    <w:rPr>
      <w:rFonts w:asciiTheme="majorHAnsi" w:eastAsiaTheme="majorEastAsia" w:hAnsiTheme="majorHAnsi" w:cstheme="majorBidi"/>
      <w:bCs/>
      <w:color w:val="000000" w:themeColor="text1"/>
      <w:sz w:val="22"/>
    </w:rPr>
  </w:style>
  <w:style w:type="paragraph" w:styleId="Titre4">
    <w:name w:val="heading 4"/>
    <w:basedOn w:val="Normal"/>
    <w:next w:val="Normal"/>
    <w:link w:val="Titre4Car"/>
    <w:uiPriority w:val="9"/>
    <w:semiHidden/>
    <w:unhideWhenUsed/>
    <w:qFormat/>
    <w:rsid w:val="00602697"/>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602697"/>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60269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rsid w:val="0060269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rsid w:val="00602697"/>
    <w:pPr>
      <w:keepNext/>
      <w:keepLines/>
      <w:numPr>
        <w:ilvl w:val="7"/>
        <w:numId w:val="1"/>
      </w:numPr>
      <w:spacing w:before="200" w:after="0"/>
      <w:outlineLvl w:val="7"/>
    </w:pPr>
    <w:rPr>
      <w:rFonts w:asciiTheme="majorHAnsi" w:eastAsiaTheme="majorEastAsia" w:hAnsiTheme="majorHAnsi" w:cstheme="majorBidi"/>
      <w:color w:val="404040" w:themeColor="text1" w:themeTint="BF"/>
    </w:rPr>
  </w:style>
  <w:style w:type="paragraph" w:styleId="Titre9">
    <w:name w:val="heading 9"/>
    <w:basedOn w:val="Normal"/>
    <w:next w:val="Normal"/>
    <w:link w:val="Titre9Car"/>
    <w:uiPriority w:val="9"/>
    <w:semiHidden/>
    <w:unhideWhenUsed/>
    <w:rsid w:val="00602697"/>
    <w:pPr>
      <w:keepNext/>
      <w:keepLines/>
      <w:numPr>
        <w:ilvl w:val="8"/>
        <w:numId w:val="1"/>
      </w:numPr>
      <w:spacing w:before="200" w:after="0"/>
      <w:outlineLvl w:val="8"/>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BC10DB"/>
    <w:pPr>
      <w:spacing w:before="1440" w:after="720" w:line="240" w:lineRule="auto"/>
      <w:contextualSpacing/>
      <w:jc w:val="center"/>
    </w:pPr>
    <w:rPr>
      <w:rFonts w:eastAsiaTheme="majorEastAsia" w:cstheme="majorBidi"/>
      <w:b/>
      <w:color w:val="000000" w:themeColor="text1"/>
      <w:spacing w:val="5"/>
      <w:kern w:val="28"/>
      <w:sz w:val="32"/>
      <w:szCs w:val="52"/>
    </w:rPr>
  </w:style>
  <w:style w:type="character" w:customStyle="1" w:styleId="Titre1Car">
    <w:name w:val="Titre 1 Car"/>
    <w:basedOn w:val="Policepardfaut"/>
    <w:link w:val="Titre1"/>
    <w:uiPriority w:val="9"/>
    <w:rsid w:val="00B772F3"/>
    <w:rPr>
      <w:rFonts w:asciiTheme="majorHAnsi" w:eastAsiaTheme="majorEastAsia" w:hAnsiTheme="majorHAnsi" w:cstheme="majorBidi"/>
      <w:b/>
      <w:bCs/>
      <w:color w:val="000000" w:themeColor="text1"/>
      <w:sz w:val="28"/>
      <w:szCs w:val="28"/>
    </w:rPr>
  </w:style>
  <w:style w:type="character" w:customStyle="1" w:styleId="Titre2Car">
    <w:name w:val="Titre 2 Car"/>
    <w:basedOn w:val="Policepardfaut"/>
    <w:link w:val="Titre2"/>
    <w:uiPriority w:val="9"/>
    <w:rsid w:val="00B772F3"/>
    <w:rPr>
      <w:rFonts w:ascii="Cambria" w:eastAsiaTheme="majorEastAsia" w:hAnsi="Cambria" w:cstheme="majorBidi"/>
      <w:b/>
      <w:bCs/>
      <w:color w:val="000000" w:themeColor="text1"/>
      <w:sz w:val="24"/>
      <w:szCs w:val="26"/>
    </w:rPr>
  </w:style>
  <w:style w:type="character" w:customStyle="1" w:styleId="Titre3Car">
    <w:name w:val="Titre 3 Car"/>
    <w:basedOn w:val="Policepardfaut"/>
    <w:link w:val="Titre3"/>
    <w:uiPriority w:val="9"/>
    <w:rsid w:val="006F0B54"/>
    <w:rPr>
      <w:rFonts w:asciiTheme="majorHAnsi" w:eastAsiaTheme="majorEastAsia" w:hAnsiTheme="majorHAnsi" w:cstheme="majorBidi"/>
      <w:bCs/>
      <w:color w:val="000000" w:themeColor="text1"/>
    </w:rPr>
  </w:style>
  <w:style w:type="character" w:customStyle="1" w:styleId="Titre4Car">
    <w:name w:val="Titre 4 Car"/>
    <w:basedOn w:val="Policepardfaut"/>
    <w:link w:val="Titre4"/>
    <w:uiPriority w:val="9"/>
    <w:semiHidden/>
    <w:rsid w:val="00602697"/>
    <w:rPr>
      <w:rFonts w:asciiTheme="majorHAnsi" w:eastAsiaTheme="majorEastAsia" w:hAnsiTheme="majorHAnsi" w:cstheme="majorBidi"/>
      <w:b/>
      <w:bCs/>
      <w:i/>
      <w:iCs/>
      <w:color w:val="4F81BD" w:themeColor="accent1"/>
      <w:sz w:val="36"/>
    </w:rPr>
  </w:style>
  <w:style w:type="character" w:customStyle="1" w:styleId="Titre5Car">
    <w:name w:val="Titre 5 Car"/>
    <w:basedOn w:val="Policepardfaut"/>
    <w:link w:val="Titre5"/>
    <w:uiPriority w:val="9"/>
    <w:semiHidden/>
    <w:rsid w:val="00602697"/>
    <w:rPr>
      <w:rFonts w:asciiTheme="majorHAnsi" w:eastAsiaTheme="majorEastAsia" w:hAnsiTheme="majorHAnsi" w:cstheme="majorBidi"/>
      <w:color w:val="243F60" w:themeColor="accent1" w:themeShade="7F"/>
      <w:sz w:val="36"/>
    </w:rPr>
  </w:style>
  <w:style w:type="character" w:customStyle="1" w:styleId="Titre6Car">
    <w:name w:val="Titre 6 Car"/>
    <w:basedOn w:val="Policepardfaut"/>
    <w:link w:val="Titre6"/>
    <w:uiPriority w:val="9"/>
    <w:semiHidden/>
    <w:rsid w:val="00602697"/>
    <w:rPr>
      <w:rFonts w:asciiTheme="majorHAnsi" w:eastAsiaTheme="majorEastAsia" w:hAnsiTheme="majorHAnsi" w:cstheme="majorBidi"/>
      <w:i/>
      <w:iCs/>
      <w:color w:val="243F60" w:themeColor="accent1" w:themeShade="7F"/>
      <w:sz w:val="36"/>
    </w:rPr>
  </w:style>
  <w:style w:type="character" w:customStyle="1" w:styleId="Titre7Car">
    <w:name w:val="Titre 7 Car"/>
    <w:basedOn w:val="Policepardfaut"/>
    <w:link w:val="Titre7"/>
    <w:uiPriority w:val="9"/>
    <w:semiHidden/>
    <w:rsid w:val="00602697"/>
    <w:rPr>
      <w:rFonts w:asciiTheme="majorHAnsi" w:eastAsiaTheme="majorEastAsia" w:hAnsiTheme="majorHAnsi" w:cstheme="majorBidi"/>
      <w:i/>
      <w:iCs/>
      <w:color w:val="404040" w:themeColor="text1" w:themeTint="BF"/>
      <w:sz w:val="36"/>
    </w:rPr>
  </w:style>
  <w:style w:type="character" w:customStyle="1" w:styleId="Titre8Car">
    <w:name w:val="Titre 8 Car"/>
    <w:basedOn w:val="Policepardfaut"/>
    <w:link w:val="Titre8"/>
    <w:uiPriority w:val="9"/>
    <w:semiHidden/>
    <w:rsid w:val="0060269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602697"/>
    <w:rPr>
      <w:rFonts w:asciiTheme="majorHAnsi" w:eastAsiaTheme="majorEastAsia" w:hAnsiTheme="majorHAnsi" w:cstheme="majorBidi"/>
      <w:i/>
      <w:iCs/>
      <w:color w:val="404040" w:themeColor="text1" w:themeTint="BF"/>
      <w:sz w:val="20"/>
      <w:szCs w:val="20"/>
    </w:rPr>
  </w:style>
  <w:style w:type="character" w:customStyle="1" w:styleId="TitreCar">
    <w:name w:val="Titre Car"/>
    <w:basedOn w:val="Policepardfaut"/>
    <w:link w:val="Titre"/>
    <w:uiPriority w:val="10"/>
    <w:rsid w:val="00BC10DB"/>
    <w:rPr>
      <w:rFonts w:ascii="Cambria" w:eastAsiaTheme="majorEastAsia" w:hAnsi="Cambria" w:cstheme="majorBidi"/>
      <w:b/>
      <w:color w:val="000000" w:themeColor="text1"/>
      <w:spacing w:val="5"/>
      <w:kern w:val="28"/>
      <w:sz w:val="32"/>
      <w:szCs w:val="52"/>
    </w:rPr>
  </w:style>
  <w:style w:type="paragraph" w:styleId="Sous-titre">
    <w:name w:val="Subtitle"/>
    <w:basedOn w:val="Normal"/>
    <w:next w:val="Normal"/>
    <w:link w:val="Sous-titreCar"/>
    <w:uiPriority w:val="11"/>
    <w:qFormat/>
    <w:pPr>
      <w:spacing w:before="240" w:after="240" w:line="240" w:lineRule="auto"/>
      <w:jc w:val="center"/>
    </w:pPr>
    <w:rPr>
      <w:color w:val="000000"/>
      <w:sz w:val="28"/>
      <w:szCs w:val="28"/>
    </w:rPr>
  </w:style>
  <w:style w:type="character" w:customStyle="1" w:styleId="Sous-titreCar">
    <w:name w:val="Sous-titre Car"/>
    <w:basedOn w:val="Policepardfaut"/>
    <w:link w:val="Sous-titre"/>
    <w:uiPriority w:val="11"/>
    <w:rsid w:val="00BC10DB"/>
    <w:rPr>
      <w:rFonts w:ascii="Cambria" w:eastAsiaTheme="majorEastAsia" w:hAnsi="Cambria" w:cstheme="majorBidi"/>
      <w:iCs/>
      <w:color w:val="000000" w:themeColor="text1"/>
      <w:sz w:val="28"/>
      <w:szCs w:val="24"/>
    </w:rPr>
  </w:style>
  <w:style w:type="paragraph" w:styleId="En-tte">
    <w:name w:val="header"/>
    <w:basedOn w:val="Normal"/>
    <w:link w:val="En-tteCar"/>
    <w:uiPriority w:val="99"/>
    <w:unhideWhenUsed/>
    <w:rsid w:val="00602697"/>
    <w:pPr>
      <w:tabs>
        <w:tab w:val="center" w:pos="4703"/>
        <w:tab w:val="right" w:pos="9406"/>
      </w:tabs>
      <w:spacing w:before="0" w:after="0" w:line="240" w:lineRule="auto"/>
    </w:pPr>
  </w:style>
  <w:style w:type="character" w:customStyle="1" w:styleId="En-tteCar">
    <w:name w:val="En-tête Car"/>
    <w:basedOn w:val="Policepardfaut"/>
    <w:link w:val="En-tte"/>
    <w:uiPriority w:val="99"/>
    <w:rsid w:val="00602697"/>
    <w:rPr>
      <w:rFonts w:ascii="Cambria" w:hAnsi="Cambria"/>
      <w:sz w:val="32"/>
    </w:rPr>
  </w:style>
  <w:style w:type="paragraph" w:styleId="Pieddepage">
    <w:name w:val="footer"/>
    <w:basedOn w:val="Normal"/>
    <w:link w:val="PieddepageCar"/>
    <w:uiPriority w:val="99"/>
    <w:unhideWhenUsed/>
    <w:rsid w:val="004F43C2"/>
    <w:pPr>
      <w:tabs>
        <w:tab w:val="center" w:pos="4703"/>
        <w:tab w:val="right" w:pos="9406"/>
      </w:tabs>
      <w:spacing w:line="240" w:lineRule="auto"/>
    </w:pPr>
    <w:rPr>
      <w:sz w:val="18"/>
    </w:rPr>
  </w:style>
  <w:style w:type="character" w:customStyle="1" w:styleId="PieddepageCar">
    <w:name w:val="Pied de page Car"/>
    <w:basedOn w:val="Policepardfaut"/>
    <w:link w:val="Pieddepage"/>
    <w:uiPriority w:val="99"/>
    <w:rsid w:val="004F43C2"/>
    <w:rPr>
      <w:rFonts w:ascii="Cambria" w:hAnsi="Cambria"/>
      <w:sz w:val="18"/>
    </w:rPr>
  </w:style>
  <w:style w:type="paragraph" w:styleId="Textedebulles">
    <w:name w:val="Balloon Text"/>
    <w:basedOn w:val="Normal"/>
    <w:link w:val="TextedebullesCar"/>
    <w:uiPriority w:val="99"/>
    <w:semiHidden/>
    <w:unhideWhenUsed/>
    <w:rsid w:val="00A744F7"/>
    <w:pPr>
      <w:spacing w:before="0"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744F7"/>
    <w:rPr>
      <w:rFonts w:ascii="Tahoma" w:hAnsi="Tahoma" w:cs="Tahoma"/>
      <w:sz w:val="16"/>
      <w:szCs w:val="16"/>
    </w:rPr>
  </w:style>
  <w:style w:type="character" w:styleId="Textedelespacerserv">
    <w:name w:val="Placeholder Text"/>
    <w:basedOn w:val="Policepardfaut"/>
    <w:uiPriority w:val="99"/>
    <w:semiHidden/>
    <w:rsid w:val="00A744F7"/>
    <w:rPr>
      <w:color w:val="808080"/>
    </w:rPr>
  </w:style>
  <w:style w:type="paragraph" w:styleId="En-ttedetabledesmatires">
    <w:name w:val="TOC Heading"/>
    <w:basedOn w:val="Titre1"/>
    <w:next w:val="Normal"/>
    <w:uiPriority w:val="39"/>
    <w:semiHidden/>
    <w:unhideWhenUsed/>
    <w:qFormat/>
    <w:rsid w:val="00A744F7"/>
    <w:pPr>
      <w:numPr>
        <w:numId w:val="0"/>
      </w:numPr>
      <w:spacing w:after="0"/>
      <w:jc w:val="left"/>
      <w:outlineLvl w:val="9"/>
    </w:pPr>
    <w:rPr>
      <w:color w:val="365F91" w:themeColor="accent1" w:themeShade="BF"/>
    </w:rPr>
  </w:style>
  <w:style w:type="paragraph" w:styleId="TM1">
    <w:name w:val="toc 1"/>
    <w:basedOn w:val="Normal"/>
    <w:next w:val="Normal"/>
    <w:autoRedefine/>
    <w:uiPriority w:val="39"/>
    <w:unhideWhenUsed/>
    <w:rsid w:val="00A744F7"/>
    <w:pPr>
      <w:spacing w:after="100"/>
    </w:pPr>
  </w:style>
  <w:style w:type="character" w:styleId="Lienhypertexte">
    <w:name w:val="Hyperlink"/>
    <w:basedOn w:val="Policepardfaut"/>
    <w:uiPriority w:val="99"/>
    <w:unhideWhenUsed/>
    <w:rsid w:val="00A744F7"/>
    <w:rPr>
      <w:color w:val="0000FF" w:themeColor="hyperlink"/>
      <w:u w:val="single"/>
    </w:rPr>
  </w:style>
  <w:style w:type="character" w:styleId="lev">
    <w:name w:val="Strong"/>
    <w:basedOn w:val="Policepardfaut"/>
    <w:uiPriority w:val="22"/>
    <w:qFormat/>
    <w:rsid w:val="00A744F7"/>
    <w:rPr>
      <w:b/>
      <w:bCs/>
    </w:rPr>
  </w:style>
  <w:style w:type="paragraph" w:styleId="Paragraphedeliste">
    <w:name w:val="List Paragraph"/>
    <w:basedOn w:val="Normal"/>
    <w:uiPriority w:val="34"/>
    <w:qFormat/>
    <w:rsid w:val="00A744F7"/>
    <w:pPr>
      <w:ind w:left="720"/>
      <w:contextualSpacing/>
    </w:pPr>
  </w:style>
  <w:style w:type="paragraph" w:styleId="Notedebasdepage">
    <w:name w:val="footnote text"/>
    <w:basedOn w:val="Normal"/>
    <w:link w:val="NotedebasdepageCar"/>
    <w:uiPriority w:val="99"/>
    <w:semiHidden/>
    <w:unhideWhenUsed/>
    <w:rsid w:val="00850157"/>
    <w:pPr>
      <w:spacing w:before="0" w:after="0" w:line="240" w:lineRule="auto"/>
      <w:jc w:val="left"/>
    </w:pPr>
    <w:rPr>
      <w:sz w:val="18"/>
    </w:rPr>
  </w:style>
  <w:style w:type="character" w:customStyle="1" w:styleId="NotedebasdepageCar">
    <w:name w:val="Note de bas de page Car"/>
    <w:basedOn w:val="Policepardfaut"/>
    <w:link w:val="Notedebasdepage"/>
    <w:uiPriority w:val="99"/>
    <w:semiHidden/>
    <w:rsid w:val="00850157"/>
    <w:rPr>
      <w:rFonts w:ascii="Cambria" w:hAnsi="Cambria"/>
      <w:sz w:val="18"/>
      <w:szCs w:val="20"/>
    </w:rPr>
  </w:style>
  <w:style w:type="character" w:styleId="Appelnotedebasdep">
    <w:name w:val="footnote reference"/>
    <w:basedOn w:val="Policepardfaut"/>
    <w:uiPriority w:val="99"/>
    <w:semiHidden/>
    <w:unhideWhenUsed/>
    <w:rsid w:val="00C90040"/>
    <w:rPr>
      <w:vertAlign w:val="superscript"/>
    </w:rPr>
  </w:style>
  <w:style w:type="paragraph" w:styleId="Citation">
    <w:name w:val="Quote"/>
    <w:basedOn w:val="Normal"/>
    <w:next w:val="Normal"/>
    <w:link w:val="CitationCar"/>
    <w:uiPriority w:val="29"/>
    <w:qFormat/>
    <w:rsid w:val="000F7671"/>
    <w:pPr>
      <w:ind w:left="567"/>
    </w:pPr>
    <w:rPr>
      <w:i/>
      <w:iCs/>
      <w:color w:val="000000" w:themeColor="text1"/>
    </w:rPr>
  </w:style>
  <w:style w:type="character" w:customStyle="1" w:styleId="CitationCar">
    <w:name w:val="Citation Car"/>
    <w:basedOn w:val="Policepardfaut"/>
    <w:link w:val="Citation"/>
    <w:uiPriority w:val="29"/>
    <w:rsid w:val="000F7671"/>
    <w:rPr>
      <w:rFonts w:ascii="Cambria" w:hAnsi="Cambria"/>
      <w:i/>
      <w:iCs/>
      <w:color w:val="000000" w:themeColor="text1"/>
      <w:sz w:val="20"/>
    </w:rPr>
  </w:style>
  <w:style w:type="paragraph" w:styleId="Citationintense">
    <w:name w:val="Intense Quote"/>
    <w:basedOn w:val="Normal"/>
    <w:next w:val="Normal"/>
    <w:link w:val="CitationintenseCar"/>
    <w:uiPriority w:val="30"/>
    <w:qFormat/>
    <w:rsid w:val="009B672A"/>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9B672A"/>
    <w:rPr>
      <w:rFonts w:ascii="Calibri" w:hAnsi="Calibri"/>
      <w:b/>
      <w:bCs/>
      <w:i/>
      <w:iCs/>
      <w:color w:val="4F81BD" w:themeColor="accent1"/>
      <w:sz w:val="32"/>
    </w:rPr>
  </w:style>
  <w:style w:type="character" w:styleId="Accentuation">
    <w:name w:val="Emphasis"/>
    <w:basedOn w:val="Policepardfaut"/>
    <w:uiPriority w:val="20"/>
    <w:qFormat/>
    <w:rsid w:val="00170297"/>
    <w:rPr>
      <w:i/>
      <w:iCs/>
    </w:rPr>
  </w:style>
  <w:style w:type="table" w:styleId="Grilledutableau">
    <w:name w:val="Table Grid"/>
    <w:basedOn w:val="TableauNormal"/>
    <w:rsid w:val="004F30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541577"/>
    <w:pPr>
      <w:spacing w:before="480" w:after="240" w:line="240" w:lineRule="auto"/>
    </w:pPr>
    <w:rPr>
      <w:b/>
      <w:bCs/>
      <w:color w:val="000000" w:themeColor="text1"/>
      <w:szCs w:val="18"/>
    </w:rPr>
  </w:style>
  <w:style w:type="paragraph" w:styleId="NormalWeb">
    <w:name w:val="Normal (Web)"/>
    <w:basedOn w:val="Normal"/>
    <w:uiPriority w:val="99"/>
    <w:semiHidden/>
    <w:unhideWhenUsed/>
    <w:rsid w:val="00A86B92"/>
    <w:pPr>
      <w:spacing w:before="100" w:beforeAutospacing="1" w:after="100" w:afterAutospacing="1" w:line="240" w:lineRule="auto"/>
      <w:jc w:val="left"/>
    </w:pPr>
    <w:rPr>
      <w:rFonts w:ascii="Times New Roman" w:eastAsia="Times New Roman" w:hAnsi="Times New Roman" w:cs="Times New Roman"/>
      <w:szCs w:val="24"/>
    </w:rPr>
  </w:style>
  <w:style w:type="paragraph" w:styleId="Sansinterligne">
    <w:name w:val="No Spacing"/>
    <w:link w:val="SansinterligneCar"/>
    <w:uiPriority w:val="1"/>
    <w:qFormat/>
    <w:rsid w:val="00C75B40"/>
    <w:pPr>
      <w:spacing w:after="0" w:line="240" w:lineRule="auto"/>
    </w:pPr>
    <w:rPr>
      <w:rFonts w:eastAsiaTheme="minorEastAsia"/>
    </w:rPr>
  </w:style>
  <w:style w:type="character" w:customStyle="1" w:styleId="SansinterligneCar">
    <w:name w:val="Sans interligne Car"/>
    <w:basedOn w:val="Policepardfaut"/>
    <w:link w:val="Sansinterligne"/>
    <w:uiPriority w:val="1"/>
    <w:rsid w:val="00C75B40"/>
    <w:rPr>
      <w:rFonts w:eastAsiaTheme="minorEastAsia"/>
    </w:rPr>
  </w:style>
  <w:style w:type="paragraph" w:styleId="TM2">
    <w:name w:val="toc 2"/>
    <w:basedOn w:val="Normal"/>
    <w:next w:val="Normal"/>
    <w:autoRedefine/>
    <w:uiPriority w:val="39"/>
    <w:unhideWhenUsed/>
    <w:rsid w:val="00BD1340"/>
    <w:pPr>
      <w:spacing w:after="100"/>
      <w:ind w:left="280"/>
    </w:pPr>
  </w:style>
  <w:style w:type="paragraph" w:customStyle="1" w:styleId="Abstract">
    <w:name w:val="Abstract"/>
    <w:basedOn w:val="Normal"/>
    <w:qFormat/>
    <w:rsid w:val="00F500FB"/>
    <w:pPr>
      <w:spacing w:before="0" w:after="0" w:line="240" w:lineRule="auto"/>
      <w:ind w:left="567" w:right="567"/>
    </w:pPr>
  </w:style>
  <w:style w:type="paragraph" w:customStyle="1" w:styleId="Affiliation">
    <w:name w:val="Affiliation"/>
    <w:basedOn w:val="Sous-titre"/>
    <w:qFormat/>
    <w:rsid w:val="007874FD"/>
    <w:pPr>
      <w:spacing w:before="0" w:after="0"/>
    </w:pPr>
    <w:rPr>
      <w:sz w:val="20"/>
      <w:lang w:val="tr-TR"/>
    </w:rPr>
  </w:style>
  <w:style w:type="character" w:styleId="Mentionnonrsolue">
    <w:name w:val="Unresolved Mention"/>
    <w:basedOn w:val="Policepardfaut"/>
    <w:uiPriority w:val="99"/>
    <w:semiHidden/>
    <w:unhideWhenUsed/>
    <w:rsid w:val="004576FF"/>
    <w:rPr>
      <w:color w:val="808080"/>
      <w:shd w:val="clear" w:color="auto" w:fill="E6E6E6"/>
    </w:rPr>
  </w:style>
  <w:style w:type="paragraph" w:styleId="Bibliographie">
    <w:name w:val="Bibliography"/>
    <w:basedOn w:val="Normal"/>
    <w:next w:val="Normal"/>
    <w:uiPriority w:val="37"/>
    <w:unhideWhenUsed/>
    <w:rsid w:val="00DD3EA8"/>
    <w:pPr>
      <w:spacing w:after="0" w:line="240" w:lineRule="auto"/>
      <w:ind w:left="720" w:hanging="720"/>
    </w:pPr>
  </w:style>
  <w:style w:type="character" w:styleId="Marquedecommentaire">
    <w:name w:val="annotation reference"/>
    <w:basedOn w:val="Policepardfaut"/>
    <w:uiPriority w:val="99"/>
    <w:semiHidden/>
    <w:unhideWhenUsed/>
    <w:rsid w:val="006258A0"/>
    <w:rPr>
      <w:sz w:val="16"/>
      <w:szCs w:val="16"/>
    </w:rPr>
  </w:style>
  <w:style w:type="paragraph" w:styleId="Commentaire">
    <w:name w:val="annotation text"/>
    <w:basedOn w:val="Normal"/>
    <w:link w:val="CommentaireCar"/>
    <w:uiPriority w:val="99"/>
    <w:semiHidden/>
    <w:unhideWhenUsed/>
    <w:rsid w:val="006258A0"/>
    <w:pPr>
      <w:spacing w:line="240" w:lineRule="auto"/>
    </w:pPr>
  </w:style>
  <w:style w:type="character" w:customStyle="1" w:styleId="CommentaireCar">
    <w:name w:val="Commentaire Car"/>
    <w:basedOn w:val="Policepardfaut"/>
    <w:link w:val="Commentaire"/>
    <w:uiPriority w:val="99"/>
    <w:semiHidden/>
    <w:rsid w:val="006258A0"/>
    <w:rPr>
      <w:rFonts w:ascii="Cambria" w:hAnsi="Cambria"/>
      <w:sz w:val="20"/>
      <w:szCs w:val="20"/>
    </w:rPr>
  </w:style>
  <w:style w:type="paragraph" w:styleId="Objetducommentaire">
    <w:name w:val="annotation subject"/>
    <w:basedOn w:val="Commentaire"/>
    <w:next w:val="Commentaire"/>
    <w:link w:val="ObjetducommentaireCar"/>
    <w:uiPriority w:val="99"/>
    <w:semiHidden/>
    <w:unhideWhenUsed/>
    <w:rsid w:val="006258A0"/>
    <w:rPr>
      <w:b/>
      <w:bCs/>
    </w:rPr>
  </w:style>
  <w:style w:type="character" w:customStyle="1" w:styleId="ObjetducommentaireCar">
    <w:name w:val="Objet du commentaire Car"/>
    <w:basedOn w:val="CommentaireCar"/>
    <w:link w:val="Objetducommentaire"/>
    <w:uiPriority w:val="99"/>
    <w:semiHidden/>
    <w:rsid w:val="006258A0"/>
    <w:rPr>
      <w:rFonts w:ascii="Cambria" w:hAnsi="Cambria"/>
      <w:b/>
      <w:bCs/>
      <w:sz w:val="20"/>
      <w:szCs w:val="20"/>
    </w:rPr>
  </w:style>
  <w:style w:type="character" w:styleId="Appeldenotedefin">
    <w:name w:val="endnote reference"/>
    <w:basedOn w:val="Policepardfaut"/>
    <w:uiPriority w:val="99"/>
    <w:semiHidden/>
    <w:unhideWhenUsed/>
    <w:rsid w:val="00F47FBD"/>
    <w:rPr>
      <w:vertAlign w:val="superscript"/>
    </w:rPr>
  </w:style>
  <w:style w:type="paragraph" w:styleId="Tabledesillustrations">
    <w:name w:val="table of figures"/>
    <w:basedOn w:val="Normal"/>
    <w:next w:val="Normal"/>
    <w:uiPriority w:val="99"/>
    <w:unhideWhenUsed/>
    <w:rsid w:val="00393266"/>
    <w:pPr>
      <w:spacing w:after="0"/>
    </w:pPr>
  </w:style>
  <w:style w:type="paragraph" w:styleId="TM3">
    <w:name w:val="toc 3"/>
    <w:basedOn w:val="Normal"/>
    <w:next w:val="Normal"/>
    <w:autoRedefine/>
    <w:uiPriority w:val="39"/>
    <w:unhideWhenUsed/>
    <w:rsid w:val="006D3A61"/>
    <w:pPr>
      <w:spacing w:after="100"/>
      <w:ind w:left="400"/>
    </w:p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1.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Vy+/pRoWgaUCi/3EFVc6ROELCw==">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</go:docsCustomData>
</go:gDocsCustomXmlDataStorage>
</file>

<file path=customXml/itemProps1.xml><?xml version="1.0" encoding="utf-8"?>
<ds:datastoreItem xmlns:ds="http://schemas.openxmlformats.org/officeDocument/2006/customXml" ds:itemID="{D8E42720-C1C4-4872-B553-E9FD0A6F43C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12090</Words>
  <Characters>66498</Characters>
  <Application>Microsoft Office Word</Application>
  <DocSecurity>0</DocSecurity>
  <Lines>554</Lines>
  <Paragraphs>156</Paragraphs>
  <ScaleCrop>false</ScaleCrop>
  <Company/>
  <LinksUpToDate>false</LinksUpToDate>
  <CharactersWithSpaces>78432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erkin</dc:creator>
  <cp:lastModifiedBy>Rakotoson Arotiana</cp:lastModifiedBy>
  <cp:revision>14</cp:revision>
  <cp:lastPrinted>2025-03-28T18:51:00Z</cp:lastPrinted>
  <dcterms:created xsi:type="dcterms:W3CDTF">2018-05-01T17:28:00Z</dcterms:created>
  <dcterms:modified xsi:type="dcterms:W3CDTF">2025-03-28T18:51:00Z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id="NCxBvOKn"/&gt;&lt;style id="http://www.zotero.org/styles/chicago-author-date" locale="en-US"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